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FE719F" w14:textId="77777777" w:rsidR="004651F2" w:rsidRPr="001D7209" w:rsidRDefault="004651F2" w:rsidP="00161EB4">
      <w:pPr>
        <w:jc w:val="both"/>
      </w:pPr>
      <w:bookmarkStart w:id="0" w:name="_GoBack"/>
      <w:bookmarkEnd w:id="0"/>
      <w:r>
        <w:t xml:space="preserve">  </w:t>
      </w:r>
    </w:p>
    <w:p w14:paraId="3559BFB2" w14:textId="4EEA8350" w:rsidR="004651F2" w:rsidRPr="00C110D2" w:rsidRDefault="009878D2" w:rsidP="00161EB4">
      <w:pPr>
        <w:suppressLineNumbers/>
        <w:ind w:left="6237"/>
        <w:jc w:val="both"/>
        <w:rPr>
          <w:b/>
        </w:rPr>
      </w:pPr>
      <w:r>
        <w:rPr>
          <w:b/>
        </w:rPr>
        <w:t>18/MT</w:t>
      </w:r>
    </w:p>
    <w:p w14:paraId="4F1BEED3" w14:textId="76F34285" w:rsidR="00FB7EFC" w:rsidRPr="00A42CEC" w:rsidRDefault="004651F2" w:rsidP="00161EB4">
      <w:pPr>
        <w:suppressLineNumbers/>
        <w:ind w:left="6237"/>
        <w:jc w:val="both"/>
      </w:pPr>
      <w:r>
        <w:rPr>
          <w:b/>
        </w:rPr>
        <w:t>WP250rev.01</w:t>
      </w:r>
      <w:r>
        <w:rPr>
          <w:b/>
          <w:i/>
          <w:iCs/>
          <w:sz w:val="16"/>
        </w:rPr>
        <w:br/>
      </w:r>
    </w:p>
    <w:p w14:paraId="7DA5E259" w14:textId="77777777" w:rsidR="00FB7EFC" w:rsidRPr="00A42CEC" w:rsidRDefault="00FB7EFC" w:rsidP="00161EB4">
      <w:pPr>
        <w:jc w:val="both"/>
        <w:outlineLvl w:val="0"/>
      </w:pPr>
    </w:p>
    <w:p w14:paraId="5FE97E65" w14:textId="77777777" w:rsidR="00FB7EFC" w:rsidRPr="00A42CEC" w:rsidRDefault="00FB7EFC" w:rsidP="00161EB4">
      <w:pPr>
        <w:jc w:val="both"/>
        <w:outlineLvl w:val="0"/>
      </w:pPr>
    </w:p>
    <w:p w14:paraId="38AD35E3" w14:textId="77777777" w:rsidR="00FB7EFC" w:rsidRPr="00A42CEC" w:rsidRDefault="00FB7EFC" w:rsidP="00161EB4">
      <w:pPr>
        <w:jc w:val="both"/>
        <w:rPr>
          <w:b/>
        </w:rPr>
      </w:pPr>
    </w:p>
    <w:p w14:paraId="67F912B7" w14:textId="77777777" w:rsidR="000E1D42" w:rsidRPr="0014780D" w:rsidRDefault="000E1D42" w:rsidP="000E1D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FFFFFF"/>
        <w:jc w:val="center"/>
        <w:rPr>
          <w:b/>
        </w:rPr>
      </w:pPr>
    </w:p>
    <w:p w14:paraId="594FDABC" w14:textId="45A40EB9" w:rsidR="000E1D42" w:rsidRPr="0014780D" w:rsidRDefault="000E1D42" w:rsidP="000E1D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FFFFFF"/>
        <w:jc w:val="center"/>
        <w:rPr>
          <w:b/>
        </w:rPr>
      </w:pPr>
      <w:r>
        <w:rPr>
          <w:b/>
        </w:rPr>
        <w:t xml:space="preserve">Linji gwida dwar in-Notifika ta’ ksur ta’ </w:t>
      </w:r>
      <w:r w:rsidR="00BD591B" w:rsidRPr="00BD591B">
        <w:rPr>
          <w:b/>
          <w:i/>
        </w:rPr>
        <w:t>data</w:t>
      </w:r>
      <w:r>
        <w:rPr>
          <w:b/>
        </w:rPr>
        <w:t xml:space="preserve"> personali skont ir-Regolament 2016/679</w:t>
      </w:r>
    </w:p>
    <w:p w14:paraId="49B5260F" w14:textId="77777777" w:rsidR="00FB7EFC" w:rsidRPr="00A42CEC" w:rsidRDefault="00FB7EFC" w:rsidP="00161E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FFFFFF"/>
        <w:jc w:val="center"/>
        <w:rPr>
          <w:b/>
        </w:rPr>
      </w:pPr>
    </w:p>
    <w:p w14:paraId="4581E963" w14:textId="77777777" w:rsidR="00FB7EFC" w:rsidRPr="00A42CEC" w:rsidRDefault="00FB7EFC" w:rsidP="00161EB4">
      <w:pPr>
        <w:jc w:val="center"/>
        <w:rPr>
          <w:b/>
        </w:rPr>
      </w:pPr>
    </w:p>
    <w:p w14:paraId="23E34FF0" w14:textId="53782E1A" w:rsidR="00FB7EFC" w:rsidRPr="00E4404A" w:rsidRDefault="00FF54DA" w:rsidP="00E4404A">
      <w:pPr>
        <w:jc w:val="center"/>
        <w:rPr>
          <w:b/>
          <w:bCs/>
        </w:rPr>
      </w:pPr>
      <w:r>
        <w:rPr>
          <w:b/>
        </w:rPr>
        <w:t>Adottati fit-3 ta’ Ottubru 2017</w:t>
      </w:r>
    </w:p>
    <w:p w14:paraId="731D01F5" w14:textId="77777777" w:rsidR="004831B3" w:rsidRDefault="004831B3" w:rsidP="004831B3">
      <w:pPr>
        <w:jc w:val="center"/>
        <w:rPr>
          <w:b/>
          <w:bCs/>
        </w:rPr>
      </w:pPr>
      <w:r>
        <w:rPr>
          <w:b/>
        </w:rPr>
        <w:t>Kif Riveduti u Adottati l-aħħar fis-6 ta’ Frar 2018</w:t>
      </w:r>
    </w:p>
    <w:p w14:paraId="627E5CEA" w14:textId="77777777" w:rsidR="00FB7EFC" w:rsidRPr="00A42CEC" w:rsidRDefault="00FB7EFC" w:rsidP="00161EB4">
      <w:pPr>
        <w:jc w:val="both"/>
      </w:pPr>
    </w:p>
    <w:p w14:paraId="24BF55BA" w14:textId="77777777" w:rsidR="00C7151F" w:rsidRPr="00C7151F" w:rsidRDefault="00C7151F" w:rsidP="00161EB4">
      <w:pPr>
        <w:autoSpaceDE w:val="0"/>
        <w:autoSpaceDN w:val="0"/>
        <w:adjustRightInd w:val="0"/>
        <w:jc w:val="both"/>
        <w:rPr>
          <w:b/>
          <w:bCs/>
        </w:rPr>
      </w:pPr>
    </w:p>
    <w:p w14:paraId="5B487671" w14:textId="77777777" w:rsidR="00C7151F" w:rsidRPr="00C7151F" w:rsidRDefault="00C7151F" w:rsidP="00161EB4">
      <w:pPr>
        <w:autoSpaceDE w:val="0"/>
        <w:autoSpaceDN w:val="0"/>
        <w:adjustRightInd w:val="0"/>
        <w:jc w:val="both"/>
        <w:rPr>
          <w:b/>
          <w:bCs/>
        </w:rPr>
      </w:pPr>
    </w:p>
    <w:p w14:paraId="05F4BDE6" w14:textId="77777777" w:rsidR="00FF54DA" w:rsidRDefault="00943613" w:rsidP="00E4404A">
      <w:pPr>
        <w:spacing w:after="0" w:line="240" w:lineRule="auto"/>
        <w:jc w:val="both"/>
        <w:rPr>
          <w:b/>
          <w:bCs/>
        </w:rPr>
      </w:pPr>
      <w:r>
        <w:br w:type="page"/>
      </w:r>
    </w:p>
    <w:p w14:paraId="1925C2CD" w14:textId="3D193F27" w:rsidR="00FF54DA" w:rsidRPr="00A42CEC" w:rsidRDefault="00FF54DA" w:rsidP="00161EB4">
      <w:pPr>
        <w:autoSpaceDE w:val="0"/>
        <w:autoSpaceDN w:val="0"/>
        <w:adjustRightInd w:val="0"/>
        <w:jc w:val="both"/>
        <w:rPr>
          <w:b/>
          <w:bCs/>
        </w:rPr>
      </w:pPr>
      <w:r>
        <w:rPr>
          <w:b/>
        </w:rPr>
        <w:lastRenderedPageBreak/>
        <w:t xml:space="preserve">IL-GRUPP TA’ ĦIDMA GĦALL-PROTEZZJONI TA’ INDIVIDWI FL-IPPROĊESSAR TA’ </w:t>
      </w:r>
      <w:r w:rsidR="00BD591B" w:rsidRPr="00BD591B">
        <w:rPr>
          <w:b/>
          <w:i/>
        </w:rPr>
        <w:t>DATA</w:t>
      </w:r>
      <w:r>
        <w:rPr>
          <w:b/>
        </w:rPr>
        <w:t xml:space="preserve"> PERSONALI</w:t>
      </w:r>
    </w:p>
    <w:p w14:paraId="58AEE652" w14:textId="77777777" w:rsidR="00FF54DA" w:rsidRPr="00A42CEC" w:rsidRDefault="00FF54DA" w:rsidP="00161EB4">
      <w:pPr>
        <w:autoSpaceDE w:val="0"/>
        <w:autoSpaceDN w:val="0"/>
        <w:adjustRightInd w:val="0"/>
        <w:jc w:val="both"/>
        <w:rPr>
          <w:b/>
          <w:bCs/>
        </w:rPr>
      </w:pPr>
    </w:p>
    <w:p w14:paraId="48C6CC4D" w14:textId="77777777" w:rsidR="00FF54DA" w:rsidRPr="00011DF5" w:rsidRDefault="00FF54DA" w:rsidP="00161EB4">
      <w:pPr>
        <w:autoSpaceDE w:val="0"/>
        <w:autoSpaceDN w:val="0"/>
        <w:adjustRightInd w:val="0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</w:rPr>
        <w:t xml:space="preserve">stabbilit mid-Direttiva 95/46/KE tal-Parlament Ewropew u tal-Kunsill tal-24 ta’ Ottubru 1995, </w:t>
      </w:r>
    </w:p>
    <w:p w14:paraId="0D989120" w14:textId="77777777" w:rsidR="00FF54DA" w:rsidRPr="00011DF5" w:rsidRDefault="00FF54DA" w:rsidP="00161EB4">
      <w:pPr>
        <w:autoSpaceDE w:val="0"/>
        <w:autoSpaceDN w:val="0"/>
        <w:adjustRightInd w:val="0"/>
        <w:jc w:val="both"/>
        <w:rPr>
          <w:rFonts w:ascii="Times New Roman" w:hAnsi="Times New Roman"/>
          <w:bCs/>
        </w:rPr>
      </w:pPr>
    </w:p>
    <w:p w14:paraId="3104225C" w14:textId="77777777" w:rsidR="00FF54DA" w:rsidRPr="00011DF5" w:rsidRDefault="00FF54DA" w:rsidP="00161EB4">
      <w:pPr>
        <w:autoSpaceDE w:val="0"/>
        <w:autoSpaceDN w:val="0"/>
        <w:adjustRightInd w:val="0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</w:rPr>
        <w:t xml:space="preserve">wara li kkunsidra l-Artikoli 29 u 30 tagħha, </w:t>
      </w:r>
    </w:p>
    <w:p w14:paraId="06A703EF" w14:textId="77777777" w:rsidR="00FF54DA" w:rsidRPr="00011DF5" w:rsidRDefault="00FF54DA" w:rsidP="00161EB4">
      <w:pPr>
        <w:autoSpaceDE w:val="0"/>
        <w:autoSpaceDN w:val="0"/>
        <w:adjustRightInd w:val="0"/>
        <w:jc w:val="both"/>
        <w:rPr>
          <w:rFonts w:ascii="Times New Roman" w:hAnsi="Times New Roman"/>
          <w:bCs/>
        </w:rPr>
      </w:pPr>
    </w:p>
    <w:p w14:paraId="504E9980" w14:textId="77777777" w:rsidR="00FF54DA" w:rsidRPr="00011DF5" w:rsidRDefault="00FF54DA" w:rsidP="00161EB4">
      <w:pPr>
        <w:autoSpaceDE w:val="0"/>
        <w:autoSpaceDN w:val="0"/>
        <w:adjustRightInd w:val="0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</w:rPr>
        <w:t xml:space="preserve">wara li kkunsidra r-Regoli ta’ Proċedura tiegħu, </w:t>
      </w:r>
    </w:p>
    <w:p w14:paraId="7263ADBF" w14:textId="77777777" w:rsidR="00FF54DA" w:rsidRPr="00011DF5" w:rsidRDefault="00FF54DA" w:rsidP="00161EB4">
      <w:pPr>
        <w:autoSpaceDE w:val="0"/>
        <w:autoSpaceDN w:val="0"/>
        <w:adjustRightInd w:val="0"/>
        <w:jc w:val="both"/>
        <w:rPr>
          <w:rFonts w:ascii="Times New Roman" w:hAnsi="Times New Roman"/>
          <w:bCs/>
        </w:rPr>
      </w:pPr>
    </w:p>
    <w:p w14:paraId="750D67F4" w14:textId="77777777" w:rsidR="00FF54DA" w:rsidRPr="00A42CEC" w:rsidRDefault="00FF54DA" w:rsidP="00161EB4">
      <w:pPr>
        <w:autoSpaceDE w:val="0"/>
        <w:autoSpaceDN w:val="0"/>
        <w:adjustRightInd w:val="0"/>
        <w:jc w:val="both"/>
        <w:rPr>
          <w:b/>
          <w:bCs/>
        </w:rPr>
      </w:pPr>
      <w:r>
        <w:rPr>
          <w:b/>
        </w:rPr>
        <w:t>ADOTTA DAWN IL-LINJI GWIDA:</w:t>
      </w:r>
    </w:p>
    <w:p w14:paraId="1E59E751" w14:textId="77777777" w:rsidR="00FF54DA" w:rsidRDefault="00FF54DA" w:rsidP="00161EB4">
      <w:pPr>
        <w:spacing w:after="0" w:line="240" w:lineRule="auto"/>
        <w:jc w:val="both"/>
        <w:rPr>
          <w:b/>
          <w:bCs/>
        </w:rPr>
      </w:pPr>
      <w:r>
        <w:br w:type="page"/>
      </w:r>
    </w:p>
    <w:p w14:paraId="7A0BC2A6" w14:textId="77777777" w:rsidR="002A30DB" w:rsidRDefault="002A30DB" w:rsidP="00161EB4">
      <w:pPr>
        <w:spacing w:after="0" w:line="240" w:lineRule="auto"/>
        <w:jc w:val="both"/>
        <w:rPr>
          <w:rFonts w:asciiTheme="minorHAnsi" w:hAnsiTheme="minorHAnsi" w:cstheme="minorHAnsi"/>
          <w:b/>
          <w:bCs/>
          <w:sz w:val="28"/>
        </w:rPr>
      </w:pPr>
    </w:p>
    <w:p w14:paraId="32449D06" w14:textId="580F7143" w:rsidR="002B6A7C" w:rsidRDefault="00AF19DA" w:rsidP="002B6A7C">
      <w:pPr>
        <w:pStyle w:val="TOC1"/>
        <w:rPr>
          <w:rFonts w:eastAsiaTheme="minorEastAsia" w:cstheme="minorBidi"/>
          <w:b w:val="0"/>
          <w:bCs w:val="0"/>
          <w:caps w:val="0"/>
          <w:noProof/>
          <w:sz w:val="22"/>
          <w:szCs w:val="22"/>
        </w:rPr>
      </w:pPr>
      <w:r>
        <w:rPr>
          <w:rFonts w:cstheme="minorHAnsi"/>
          <w:b w:val="0"/>
          <w:sz w:val="28"/>
        </w:rPr>
        <w:t>Werrej</w:t>
      </w:r>
      <w:r w:rsidR="00FE1886">
        <w:rPr>
          <w:rFonts w:ascii="Garamond" w:eastAsiaTheme="minorEastAsia" w:hAnsi="Garamond" w:cs="Tahoma"/>
          <w:b w:val="0"/>
          <w:bCs w:val="0"/>
          <w:caps w:val="0"/>
          <w:noProof/>
          <w:sz w:val="22"/>
          <w:szCs w:val="22"/>
        </w:rPr>
        <w:fldChar w:fldCharType="begin"/>
      </w:r>
      <w:r w:rsidR="00FE1886">
        <w:rPr>
          <w:rFonts w:ascii="Garamond" w:eastAsiaTheme="minorEastAsia" w:hAnsi="Garamond" w:cs="Tahoma"/>
          <w:b w:val="0"/>
          <w:bCs w:val="0"/>
          <w:caps w:val="0"/>
          <w:noProof/>
          <w:sz w:val="22"/>
          <w:szCs w:val="22"/>
        </w:rPr>
        <w:instrText xml:space="preserve"> TOC \o "1-3" \h \z \u </w:instrText>
      </w:r>
      <w:r w:rsidR="00FE1886">
        <w:rPr>
          <w:rFonts w:ascii="Garamond" w:eastAsiaTheme="minorEastAsia" w:hAnsi="Garamond" w:cs="Tahoma"/>
          <w:b w:val="0"/>
          <w:bCs w:val="0"/>
          <w:caps w:val="0"/>
          <w:noProof/>
          <w:sz w:val="22"/>
          <w:szCs w:val="22"/>
        </w:rPr>
        <w:fldChar w:fldCharType="separate"/>
      </w:r>
      <w:r>
        <w:rPr>
          <w:rFonts w:ascii="Garamond" w:eastAsiaTheme="minorEastAsia" w:hAnsi="Garamond" w:cs="Tahoma"/>
          <w:b w:val="0"/>
          <w:bCs w:val="0"/>
          <w:caps w:val="0"/>
          <w:noProof/>
          <w:sz w:val="22"/>
          <w:szCs w:val="22"/>
        </w:rPr>
        <w:t>TOC</w:t>
      </w:r>
      <w:r w:rsidR="00FE1886">
        <w:rPr>
          <w:rFonts w:ascii="Garamond" w:eastAsiaTheme="minorEastAsia" w:hAnsi="Garamond" w:cs="Tahoma"/>
          <w:b w:val="0"/>
          <w:bCs w:val="0"/>
          <w:caps w:val="0"/>
          <w:noProof/>
          <w:sz w:val="22"/>
          <w:szCs w:val="22"/>
        </w:rPr>
        <w:fldChar w:fldCharType="end"/>
      </w:r>
    </w:p>
    <w:p w14:paraId="6D89BFB5" w14:textId="1EFC26F7" w:rsidR="004172BD" w:rsidRPr="00E77260" w:rsidRDefault="00A37934" w:rsidP="001F43A1">
      <w:pPr>
        <w:pStyle w:val="Heading1"/>
        <w:numPr>
          <w:ilvl w:val="0"/>
          <w:numId w:val="0"/>
        </w:numPr>
      </w:pPr>
      <w:r>
        <w:br w:type="page"/>
      </w:r>
      <w:bookmarkStart w:id="1" w:name="_Toc482707627"/>
      <w:bookmarkStart w:id="2" w:name="_Toc504382222"/>
      <w:bookmarkStart w:id="3" w:name="_Toc483893159"/>
      <w:bookmarkStart w:id="4" w:name="_Toc464117894"/>
      <w:r>
        <w:lastRenderedPageBreak/>
        <w:t>INTRODUZZJONI</w:t>
      </w:r>
      <w:bookmarkEnd w:id="1"/>
      <w:bookmarkEnd w:id="2"/>
      <w:r>
        <w:t xml:space="preserve"> </w:t>
      </w:r>
      <w:bookmarkEnd w:id="3"/>
    </w:p>
    <w:p w14:paraId="588C7CBC" w14:textId="77777777" w:rsidR="004172BD" w:rsidRDefault="004172BD" w:rsidP="00161EB4">
      <w:pPr>
        <w:spacing w:after="0" w:line="240" w:lineRule="auto"/>
        <w:jc w:val="both"/>
        <w:rPr>
          <w:sz w:val="24"/>
          <w:szCs w:val="24"/>
        </w:rPr>
      </w:pPr>
    </w:p>
    <w:p w14:paraId="209A2D69" w14:textId="6D780315" w:rsidR="004172BD" w:rsidRPr="0020767B" w:rsidRDefault="0037080E" w:rsidP="00161EB4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Ir-Regolament Ġenerali dwar il-Protezzjoni tad-</w:t>
      </w:r>
      <w:r w:rsidR="00BD591B" w:rsidRPr="00BD591B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(il-GDPR) jintroduċi r-rekwiżit biex ksur ta’ </w:t>
      </w:r>
      <w:r w:rsidR="00BD591B" w:rsidRPr="00BD591B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personali (minn hawn ’il quddiem imsejjaħ “ksur”) jiġi notifikat lill-awtorità superviżorja nazzjonali kompetenti</w:t>
      </w:r>
      <w:r>
        <w:rPr>
          <w:rStyle w:val="FootnoteReference"/>
          <w:rFonts w:ascii="Times New Roman" w:hAnsi="Times New Roman"/>
        </w:rPr>
        <w:footnoteReference w:id="2"/>
      </w:r>
      <w:r>
        <w:rPr>
          <w:rFonts w:ascii="Times New Roman" w:hAnsi="Times New Roman"/>
        </w:rPr>
        <w:t xml:space="preserve"> (jew, fil-każ ta’ ksur transfruntier, lill-awtorità prinċipali) u, f’ċerti każijiet, biex il-ksur jiġi komunikat lill-individwi li d-</w:t>
      </w:r>
      <w:r w:rsidR="00BD591B" w:rsidRPr="00BD591B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personali tagħhom kienet affettwata mill-ksur. </w:t>
      </w:r>
    </w:p>
    <w:p w14:paraId="55CCEB50" w14:textId="77777777" w:rsidR="00BB2612" w:rsidRPr="0020767B" w:rsidRDefault="00BB2612" w:rsidP="00161EB4">
      <w:pPr>
        <w:spacing w:after="0" w:line="240" w:lineRule="auto"/>
        <w:jc w:val="both"/>
        <w:rPr>
          <w:rFonts w:ascii="Times New Roman" w:hAnsi="Times New Roman"/>
        </w:rPr>
      </w:pPr>
    </w:p>
    <w:p w14:paraId="5B03BAF7" w14:textId="6DB18AD9" w:rsidR="00F53D6B" w:rsidRPr="001A0F9C" w:rsidRDefault="00F53D6B" w:rsidP="00F53D6B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L-obbligi ta’ notifika f’każijiet ta’ ksur bħalissa jeżistu għal ċerti organizzazzjonijiet, bħall-fornituri ta’ servizzi tal-komunikazzjoni elettronika disponibbli pubblikament (kif speċifikat fid-Direttiva 2009/136/KE u fir-Regolament (UE) Nru 611/2013)</w:t>
      </w:r>
      <w:r>
        <w:rPr>
          <w:rStyle w:val="FootnoteReference"/>
          <w:rFonts w:ascii="Times New Roman" w:hAnsi="Times New Roman"/>
        </w:rPr>
        <w:footnoteReference w:id="3"/>
      </w:r>
      <w:r>
        <w:rPr>
          <w:rFonts w:ascii="Times New Roman" w:hAnsi="Times New Roman"/>
        </w:rPr>
        <w:t xml:space="preserve">. Hemm ukoll xi Stati Membri tal-UE li diġà għandhom l-obbligu ta’ notifika ta’ ksur nazzjonali tagħhom stess. Dan jista’ jinkludi l-obbligu ta’ notifika ta’ ksur li jinvolvi kategoriji ta’ kontrolluri minbarra l-fornituri ta’ servizzi tal-komunikazzjoni elettronika disponibbli pubblikament (pereżempju fil-Ġermanja u fl-Italja), jew obbligu ta’ rapportar ta’ kull ksur li jinvolvi </w:t>
      </w:r>
      <w:r w:rsidR="00BD591B" w:rsidRPr="00BD591B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personali (bħal fin-Netherlands). Stati Membri oħra jaf għandhom Kodiċijiet ta’ Prattika rilevanti (pereżempju fl-Irlanda</w:t>
      </w:r>
      <w:r>
        <w:rPr>
          <w:rFonts w:ascii="Times New Roman" w:hAnsi="Times New Roman"/>
          <w:vertAlign w:val="superscript"/>
        </w:rPr>
        <w:footnoteReference w:id="4"/>
      </w:r>
      <w:r>
        <w:rPr>
          <w:rFonts w:ascii="Times New Roman" w:hAnsi="Times New Roman"/>
        </w:rPr>
        <w:t>). Filwaqt li numru ta’ awtoritajiet tal-protezzjoni tad-</w:t>
      </w:r>
      <w:r w:rsidR="00BD591B" w:rsidRPr="00BD591B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tal-UE bħalissa jħeġġu lill-kontrolluri jirrapportaw ksur, id-Direttiva dwar il-Protezzjoni tad-</w:t>
      </w:r>
      <w:r w:rsidR="00BD591B" w:rsidRPr="00BD591B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95/46/KE</w:t>
      </w:r>
      <w:r>
        <w:rPr>
          <w:rStyle w:val="FootnoteReference"/>
          <w:rFonts w:ascii="Times New Roman" w:hAnsi="Times New Roman"/>
        </w:rPr>
        <w:footnoteReference w:id="5"/>
      </w:r>
      <w:r>
        <w:rPr>
          <w:rFonts w:ascii="Times New Roman" w:hAnsi="Times New Roman"/>
        </w:rPr>
        <w:t>, li l-GDPR jissostitwixxi, ma fihiex obbligu speċifiku ta’ notifika ta’ ksur u, għalhekk, rekwiżit bħal dan ser ikun ġdid għal ħafna organizzazzjonijiet. Il-GDPR issa jagħmel in-notifika obbligatorja għall-kontrolluri kollha sakemm ma jkunx improbabbli li ksur jirriżulta f’riskju għad-drittijiet u għal-libertajiet tal-individwi</w:t>
      </w:r>
      <w:r>
        <w:rPr>
          <w:rStyle w:val="FootnoteReference"/>
          <w:rFonts w:ascii="Times New Roman" w:hAnsi="Times New Roman"/>
        </w:rPr>
        <w:footnoteReference w:id="6"/>
      </w:r>
      <w:r>
        <w:rPr>
          <w:rFonts w:ascii="Times New Roman" w:hAnsi="Times New Roman"/>
        </w:rPr>
        <w:t>. Il-proċessuri wkoll għandhom rwol importanti x’jaqdu u dawn iridu jinnotifikaw kwalunkwe ksur lill-kontrollur tagħhom</w:t>
      </w:r>
      <w:r>
        <w:rPr>
          <w:rStyle w:val="FootnoteReference"/>
          <w:rFonts w:ascii="Times New Roman" w:hAnsi="Times New Roman"/>
        </w:rPr>
        <w:footnoteReference w:id="7"/>
      </w:r>
      <w:r>
        <w:rPr>
          <w:rFonts w:ascii="Times New Roman" w:hAnsi="Times New Roman"/>
        </w:rPr>
        <w:t>.</w:t>
      </w:r>
    </w:p>
    <w:p w14:paraId="1EB5F818" w14:textId="77777777" w:rsidR="00BB2612" w:rsidRPr="0020767B" w:rsidRDefault="00BB2612" w:rsidP="00161EB4">
      <w:pPr>
        <w:spacing w:after="0" w:line="240" w:lineRule="auto"/>
        <w:jc w:val="both"/>
        <w:rPr>
          <w:rFonts w:ascii="Times New Roman" w:hAnsi="Times New Roman"/>
        </w:rPr>
      </w:pPr>
    </w:p>
    <w:p w14:paraId="45FB6C96" w14:textId="41C5B81F" w:rsidR="00394D46" w:rsidRDefault="00145D06" w:rsidP="003E2F84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Il-Grupp ta’ Ħidma tal-Artikolu 29 (WP29) iqis li r-rekwiżit il-ġdid ta’ notifika għandu numru ta’ benefiċċji. Meta jinnotifikaw lill-awtorità superviżorja, il-kontrolluri jistgħu jiksbu pariri dwar</w:t>
      </w:r>
      <w:bookmarkStart w:id="5" w:name="_Toc482707628"/>
      <w:bookmarkStart w:id="6" w:name="_Toc483893160"/>
      <w:r>
        <w:rPr>
          <w:rFonts w:ascii="Times New Roman" w:hAnsi="Times New Roman"/>
        </w:rPr>
        <w:t xml:space="preserve"> jekk l-individwi affettwati għandhomx bżonn jiġu informati. Tabilħaqq, l-awtorità superviżorja tista’ tordna lill-kontrollur biex jinforma lil dawk l-individwi dwar il-ksur</w:t>
      </w:r>
      <w:r>
        <w:rPr>
          <w:rStyle w:val="FootnoteReference"/>
          <w:rFonts w:ascii="Times New Roman" w:hAnsi="Times New Roman"/>
        </w:rPr>
        <w:footnoteReference w:id="8"/>
      </w:r>
      <w:r>
        <w:rPr>
          <w:rFonts w:ascii="Times New Roman" w:hAnsi="Times New Roman"/>
        </w:rPr>
        <w:t>. Il-komunikazzjoni ta’ ksur lill-individwi tippermetti lill-kontrollur jipprovdi informazzjoni dwar ir-riskji ppreżentati bħala riżultat tal-ksur u l-passi li dawk l-individwi jistgħu jieħdu biex jipproteġu lilhom infushom mill-konsegwenzi potenzjali tiegħu. Il-fokus ta’ kwalunkwe pjan ta’ rispons għal ksur għandu jkun fuq il-protezzjoni tal-individwi u tad-</w:t>
      </w:r>
      <w:r w:rsidR="00BD591B" w:rsidRPr="00BD591B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personali tagħhom. Konsegwentement, in-notifika ta’ ksur għandha titqies li hi għodda li ssaħħaħ il-konformità b’rabta mal-protezzjoni ta’ </w:t>
      </w:r>
      <w:r w:rsidR="00BD591B" w:rsidRPr="00BD591B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personali. Fl-istess ħin, ta’ min jinnota li, skont l-Artikolu 83, nuqqas ta’ rapportar ta’ ksur lil individwu jew lil awtorità superviżorja jista’ jfisser li tkun applikabbli sanzjoni possibbli għall-kontrollur.</w:t>
      </w:r>
    </w:p>
    <w:p w14:paraId="5981955A" w14:textId="77777777" w:rsidR="002A6A50" w:rsidRPr="0020767B" w:rsidRDefault="002A6A50" w:rsidP="003E2F84">
      <w:pPr>
        <w:spacing w:after="0" w:line="240" w:lineRule="auto"/>
        <w:jc w:val="both"/>
        <w:rPr>
          <w:rFonts w:ascii="Times New Roman" w:hAnsi="Times New Roman"/>
        </w:rPr>
      </w:pPr>
    </w:p>
    <w:p w14:paraId="5B4B75E2" w14:textId="2B88A9BA" w:rsidR="00394D46" w:rsidRPr="0020767B" w:rsidRDefault="00394D46" w:rsidP="003E2F84">
      <w:p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Għaldaqstant, il-kontrolluri u l-proċessuri huma mħeġġa jippjanaw bil-lest u jimplimentaw proċessi biex ikunu jistgħu jindividwaw u jikkontjenu minnufih ksur, biex jivvalutaw ir-riskju għall-individwi</w:t>
      </w:r>
      <w:r>
        <w:rPr>
          <w:rStyle w:val="FootnoteReference"/>
          <w:rFonts w:ascii="Times New Roman" w:hAnsi="Times New Roman"/>
        </w:rPr>
        <w:footnoteReference w:id="9"/>
      </w:r>
      <w:r>
        <w:rPr>
          <w:rFonts w:ascii="Times New Roman" w:hAnsi="Times New Roman"/>
        </w:rPr>
        <w:t xml:space="preserve">, u mbagħad biex jiddeterminaw jekk hemmx bżonn li jinnotifikaw lill-awtorità superviżorja kompetenti, u biex jikkomunikaw il-ksur lill-individwi kkonċernati meta jkun hemm bżonn. In-notifika lill-awtorità superviżorja għandha tagħmel parti minn dak il-pjan ta’ rispons għal inċident.   </w:t>
      </w:r>
    </w:p>
    <w:p w14:paraId="78F65749" w14:textId="2685F7CF" w:rsidR="002A6A50" w:rsidRDefault="002A6A50" w:rsidP="003E2F84">
      <w:p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Il-GDPR fih dispożizzjonijiet dwar meta ksur irid jiġi notifikat, u lil min, kif ukoll dwar x’informazzjoni għandha tiġi pprovduta bħala parti min-notifika. L-informazzjoni meħtieġa għan-notifika tista’ tiġi pprovduta f’fażijiet, iżda fi kwalunkwe każ il-kontrolluri għandhom jaġixxu fuq kwalunkwe ksur b’mod puntwali.</w:t>
      </w:r>
    </w:p>
    <w:p w14:paraId="57D12755" w14:textId="3F65EEE8" w:rsidR="00866043" w:rsidRPr="0020767B" w:rsidRDefault="00866043" w:rsidP="003E2F84">
      <w:p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Fl-Opinjoni tiegħu 03/2014 dwar in-notifika ta’ ksur ta’ </w:t>
      </w:r>
      <w:r w:rsidR="00BD591B" w:rsidRPr="00BD591B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personali</w:t>
      </w:r>
      <w:r>
        <w:rPr>
          <w:rStyle w:val="FootnoteReference"/>
          <w:rFonts w:ascii="Times New Roman" w:hAnsi="Times New Roman"/>
        </w:rPr>
        <w:footnoteReference w:id="10"/>
      </w:r>
      <w:r>
        <w:rPr>
          <w:rFonts w:ascii="Times New Roman" w:hAnsi="Times New Roman"/>
        </w:rPr>
        <w:t>, id-WP29 ipprovda gwida lill-kontrolluri biex jgħinhom jiddeċiedu meta jinnotifikaw lis-suġġetti tad-</w:t>
      </w:r>
      <w:r w:rsidR="00BD591B" w:rsidRPr="00BD591B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f’każ ta’ ksur. L-opinjoni kkunsidrat l-obbligu tal-fornituri ta’ komunikazzjonijiet elettroniċi rigward id-Direttiva 2002/58/KE u tat eżempji minn diversi setturi, fil-kuntest ta’ dak li dak iż-żmien kien abbozz tal-GDPR, u ppreżentat il-prattiki tajbin għall-kontrolluri kollha.</w:t>
      </w:r>
    </w:p>
    <w:p w14:paraId="1D7F72D9" w14:textId="3D46CC27" w:rsidR="00E85D71" w:rsidRPr="0020767B" w:rsidRDefault="002A6A50" w:rsidP="003E2F84">
      <w:p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Il-Linji Gwida kurrenti jispjegaw ir-rekwiżiti obbligatorji tal-GDPR ta’ notifika u ta’ komunikazzjoni ta’ ksur u wħud mill-passi li l-kontrolluri u l-proċessuri jistgħu jieħdu biex jissodisfaw dawn l-obbligi l-ġodda. Huma jagħtu wkoll eżempji ta’ diversi tipi ta’ ksur u min ikollu jiġi nnotifikat f’xenarji differenti.</w:t>
      </w:r>
    </w:p>
    <w:p w14:paraId="22F73E3E" w14:textId="77777777" w:rsidR="00BB3381" w:rsidRPr="0020767B" w:rsidRDefault="00BB3381" w:rsidP="007F7439">
      <w:pPr>
        <w:spacing w:line="240" w:lineRule="auto"/>
        <w:rPr>
          <w:rFonts w:ascii="Times New Roman" w:hAnsi="Times New Roman"/>
        </w:rPr>
      </w:pPr>
    </w:p>
    <w:p w14:paraId="01D9624D" w14:textId="24FA6D2C" w:rsidR="009E7C16" w:rsidRPr="009E7C16" w:rsidRDefault="0062051B" w:rsidP="009E7C16">
      <w:pPr>
        <w:pStyle w:val="Heading1"/>
      </w:pPr>
      <w:bookmarkStart w:id="7" w:name="_Toc504382223"/>
      <w:r>
        <w:t xml:space="preserve">Notifika ta’ ksur ta’ </w:t>
      </w:r>
      <w:r w:rsidR="00BD591B" w:rsidRPr="00BD591B">
        <w:rPr>
          <w:i/>
        </w:rPr>
        <w:t>data</w:t>
      </w:r>
      <w:r>
        <w:t xml:space="preserve"> personali skont il-GDPR</w:t>
      </w:r>
      <w:bookmarkEnd w:id="5"/>
      <w:bookmarkEnd w:id="7"/>
      <w:r>
        <w:t xml:space="preserve"> </w:t>
      </w:r>
      <w:bookmarkEnd w:id="6"/>
    </w:p>
    <w:p w14:paraId="0B9CE4CA" w14:textId="77777777" w:rsidR="00C5647A" w:rsidRPr="00FD729F" w:rsidRDefault="00C5647A" w:rsidP="00FD729F">
      <w:pPr>
        <w:pStyle w:val="Heading2"/>
        <w:rPr>
          <w:u w:val="none"/>
        </w:rPr>
      </w:pPr>
      <w:bookmarkStart w:id="8" w:name="_Toc504382224"/>
      <w:r>
        <w:rPr>
          <w:u w:val="none"/>
        </w:rPr>
        <w:t>Kunsiderazzjonijiet dwar is-sigurtà bażika</w:t>
      </w:r>
      <w:bookmarkEnd w:id="8"/>
    </w:p>
    <w:p w14:paraId="0D8A5758" w14:textId="20A37FE6" w:rsidR="00781728" w:rsidRDefault="00C5647A" w:rsidP="00214669">
      <w:p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Wieħed mir-rekwiżiti tal-GDPR hu li, billi jintużaw miżuri tekniċi u organizzazzjonali xierqa, id-</w:t>
      </w:r>
      <w:r w:rsidR="00BD591B" w:rsidRPr="00BD591B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personali għandha tiġi proċessata b’mod li jiżgura s-sigurtà xierqa tad-</w:t>
      </w:r>
      <w:r w:rsidR="00BD591B" w:rsidRPr="00BD591B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personali, inkluża l-protezzjoni kontra proċessar mhux awtorizzat jew illegali u kontra telf aċċidentali, qerda jew ħsara</w:t>
      </w:r>
      <w:r>
        <w:rPr>
          <w:rStyle w:val="FootnoteReference"/>
          <w:rFonts w:ascii="Times New Roman" w:hAnsi="Times New Roman"/>
        </w:rPr>
        <w:footnoteReference w:id="11"/>
      </w:r>
      <w:r>
        <w:rPr>
          <w:rFonts w:ascii="Times New Roman" w:hAnsi="Times New Roman"/>
        </w:rPr>
        <w:t xml:space="preserve">. </w:t>
      </w:r>
    </w:p>
    <w:p w14:paraId="012C3382" w14:textId="136C26CB" w:rsidR="00950BED" w:rsidRDefault="00CB1487" w:rsidP="00214669">
      <w:p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Għalhekk, il-GDPR jeħtieġ li kemm il-kontrolluri kif ukoll il-proċessuri jkollhom fis-seħħ miżuri tekniċi u organizzazzjonali xierqa biex jiżguraw livell ta’ sigurtà xieraq għar-riskju miġjub għad-</w:t>
      </w:r>
      <w:r w:rsidR="00BD591B" w:rsidRPr="00BD591B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personali li tiġi proċessata. Dawn għandhom iqisu l-istat attwali, l-ispejjeż tal-implimentazzjoni u n-natura, il-kamp ta’ applikazzjoni, il-kuntest u l-iskopijiet tal-proċessar, kif ukoll ir-riskju ta’ probabbiltà u ta’ severità li tvarja għad-drittijiet u għal-libertajiet tal-persuni fiżiċi</w:t>
      </w:r>
      <w:r>
        <w:rPr>
          <w:rStyle w:val="FootnoteReference"/>
          <w:rFonts w:ascii="Times New Roman" w:hAnsi="Times New Roman"/>
        </w:rPr>
        <w:footnoteReference w:id="12"/>
      </w:r>
      <w:r>
        <w:rPr>
          <w:rFonts w:ascii="Times New Roman" w:hAnsi="Times New Roman"/>
        </w:rPr>
        <w:t>. Barra minn hekk, il-GPDR jeħtieġ li l-miżuri xierqa kollha ta’ protezzjoni teknoloġika u organizzazzjonali jkunu fis-seħħ biex jiġi stabbilit minnufih jekk seħħx ksur, li mbagħad jiddetermina jekk jiskattax l-obbligu ta’ notifika</w:t>
      </w:r>
      <w:r>
        <w:rPr>
          <w:rStyle w:val="FootnoteReference"/>
          <w:rFonts w:ascii="Times New Roman" w:hAnsi="Times New Roman"/>
        </w:rPr>
        <w:footnoteReference w:id="13"/>
      </w:r>
      <w:r>
        <w:rPr>
          <w:rFonts w:ascii="Times New Roman" w:hAnsi="Times New Roman"/>
        </w:rPr>
        <w:t>.</w:t>
      </w:r>
    </w:p>
    <w:p w14:paraId="69CC54B2" w14:textId="557EF0C7" w:rsidR="00CB1487" w:rsidRPr="00C5647A" w:rsidRDefault="00FC10F9" w:rsidP="00214669">
      <w:p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Konsegwentement, element importanti ta’ kwalunkwe politika dwar is-sigurtà tad-</w:t>
      </w:r>
      <w:r w:rsidR="00BD591B" w:rsidRPr="00BD591B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hu li, fejn possibbli, din tkun kapaċi tipprevjeni ksur u, fejn dan iseħħ xorta waħda, tirreaġixxi għalih fil-ħin.</w:t>
      </w:r>
    </w:p>
    <w:p w14:paraId="5EDA2942" w14:textId="77777777" w:rsidR="00FD729F" w:rsidRPr="00FD729F" w:rsidRDefault="00FD729F" w:rsidP="00FD729F">
      <w:pPr>
        <w:pStyle w:val="ListParagraph"/>
        <w:numPr>
          <w:ilvl w:val="0"/>
          <w:numId w:val="30"/>
        </w:numPr>
        <w:rPr>
          <w:rFonts w:ascii="Times New Roman" w:hAnsi="Times New Roman"/>
          <w:vanish/>
        </w:rPr>
      </w:pPr>
    </w:p>
    <w:p w14:paraId="726DC37B" w14:textId="3A560F19" w:rsidR="002C02BE" w:rsidRPr="00FD729F" w:rsidRDefault="0062051B" w:rsidP="00FD729F">
      <w:pPr>
        <w:pStyle w:val="Heading2"/>
        <w:rPr>
          <w:u w:val="none"/>
        </w:rPr>
      </w:pPr>
      <w:bookmarkStart w:id="9" w:name="_Toc504382225"/>
      <w:r>
        <w:rPr>
          <w:u w:val="none"/>
        </w:rPr>
        <w:t xml:space="preserve">X’inhu ksur ta’ </w:t>
      </w:r>
      <w:r w:rsidR="00BD591B" w:rsidRPr="00BD591B">
        <w:rPr>
          <w:i/>
          <w:u w:val="none"/>
        </w:rPr>
        <w:t>data</w:t>
      </w:r>
      <w:r>
        <w:rPr>
          <w:u w:val="none"/>
        </w:rPr>
        <w:t xml:space="preserve"> personali?</w:t>
      </w:r>
      <w:bookmarkEnd w:id="9"/>
    </w:p>
    <w:p w14:paraId="77F14535" w14:textId="77777777" w:rsidR="002C02BE" w:rsidRPr="00FD729F" w:rsidRDefault="002C02BE" w:rsidP="00FD729F">
      <w:pPr>
        <w:pStyle w:val="Heading3"/>
      </w:pPr>
      <w:bookmarkStart w:id="10" w:name="_Toc504382226"/>
      <w:r>
        <w:t>Definizzjoni</w:t>
      </w:r>
      <w:bookmarkEnd w:id="10"/>
    </w:p>
    <w:p w14:paraId="55C04A2A" w14:textId="6C6F7C4C" w:rsidR="00394D46" w:rsidRPr="0062051B" w:rsidRDefault="00B60D75" w:rsidP="00C810DD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Bħala parti minn kwalunkwe tentattiv biex jiġi indirizzat ksur, il-kontrollur l-ewwel għandu jkun kapaċi jagħrfu. Il-GDPR jiddefinixxi “ksur ta’ </w:t>
      </w:r>
      <w:r w:rsidR="00BD591B" w:rsidRPr="00BD591B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personali” fl-Artikolu 4(12) kif ġej:</w:t>
      </w:r>
    </w:p>
    <w:p w14:paraId="257FA983" w14:textId="70F87A36" w:rsidR="00494E3E" w:rsidRPr="00B7727B" w:rsidRDefault="001B4738" w:rsidP="006D1369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“ksur ta’ dejta personali huwa definit bħala ksur tas-sigurtà li jwassal għal qerda, telf, tibdil inċidentali jew illegali jew divulgazzjoni mhux awtorizzata ta’, jew aċċess għal, dejta personali trasmessa, maħżuna jew ipproċessata bi kwalunkwe mod ieħor.”</w:t>
      </w:r>
    </w:p>
    <w:p w14:paraId="10944C19" w14:textId="25D1E1D7" w:rsidR="00190C05" w:rsidRDefault="00190C05" w:rsidP="00190C05">
      <w:p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X’inhu mifhum b’“qerda” ta’ </w:t>
      </w:r>
      <w:r w:rsidR="00BD591B" w:rsidRPr="00BD591B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personali għandu jkun pjuttost ċar: din isseħħ meta d-</w:t>
      </w:r>
      <w:r w:rsidR="00BD591B" w:rsidRPr="00BD591B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ma tibqax teżisti, jew ma tibqax teżisti f’forma li hi ta’ kwalunkwe użu għall-kontrollur. “Ħsara” għandha tkun relattivament ċara wkoll: din isseħħ meta d-</w:t>
      </w:r>
      <w:r w:rsidR="00BD591B" w:rsidRPr="00BD591B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personali titbiddel, tiġi mbagħbsa, jew ma tibqax kompluta. F’termini ta’ “telf” ta’ </w:t>
      </w:r>
      <w:r w:rsidR="00BD591B" w:rsidRPr="00BD591B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personali, dan għandu jiġi interpretat bħala l-possibbiltà li d-</w:t>
      </w:r>
      <w:r w:rsidR="00BD591B" w:rsidRPr="00BD591B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tista’ tkun għadha teżisti, iżda l-kontrollur tilef il-kontroll jew l-aċċess għaliha, jew ma għadhiex fil-pussess tiegħu. Finalment, proċessar mhux awtorizzat jew illegali jista’ jinkludi divulgazzjoni ta’ </w:t>
      </w:r>
      <w:r w:rsidR="00BD591B" w:rsidRPr="00BD591B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personali lil (jew l-aċċess minn) riċevituri li mhumiex awtorizzati jirċievu (jew jaċċessaw) id-</w:t>
      </w:r>
      <w:r w:rsidR="00BD591B" w:rsidRPr="00BD591B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, jew kwalunkwe forma oħra ta’ proċessar li tikser il-GDPR. </w:t>
      </w:r>
    </w:p>
    <w:p w14:paraId="24380498" w14:textId="77777777" w:rsidR="00190C05" w:rsidRPr="00F138EE" w:rsidRDefault="00190C05" w:rsidP="00190C05">
      <w:pPr>
        <w:pBdr>
          <w:top w:val="single" w:sz="4" w:space="4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Eżempju</w:t>
      </w:r>
    </w:p>
    <w:p w14:paraId="141506D3" w14:textId="2DA916AE" w:rsidR="00190C05" w:rsidRPr="00F138EE" w:rsidRDefault="00190C05" w:rsidP="00190C05">
      <w:pPr>
        <w:pBdr>
          <w:top w:val="single" w:sz="4" w:space="4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Eżempju ta’ telf ta’ </w:t>
      </w:r>
      <w:r w:rsidR="00BD591B" w:rsidRPr="00BD591B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personali jista’ jinkludi każ li fih jintilef jew jinsteraq apparat li fih kopja tal-bażi ta’ </w:t>
      </w:r>
      <w:r w:rsidR="00BD591B" w:rsidRPr="00BD591B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tal-klijenti ta’ kontrollur. Eżempju ieħor ta’ telf jista’ jkun meta l-unika kopja ta’ sett ta’ </w:t>
      </w:r>
      <w:r w:rsidR="00BD591B" w:rsidRPr="00BD591B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personali tiġi kriptata bi programm ta’ riskatt, jew tiġi kriptata mill-kontrollur permezz ta’ ċavetta li ma għadhiex fil-pussess tiegħu.</w:t>
      </w:r>
    </w:p>
    <w:p w14:paraId="3ACD7E8B" w14:textId="51DF938D" w:rsidR="00CC3D8F" w:rsidRDefault="009B5536" w:rsidP="0048429E">
      <w:p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Dak li għandu jkun ċar hu li ksur hu tip ta’ inċident tas-sigurtà. Madankollu, kif indikat mill-Artikolu 4(12), il-GDPR japplika biss meta jkun hemm ksur ta’ </w:t>
      </w:r>
      <w:r w:rsidR="00BD591B" w:rsidRPr="00BD591B">
        <w:rPr>
          <w:rFonts w:ascii="Times New Roman" w:hAnsi="Times New Roman"/>
          <w:i/>
        </w:rPr>
        <w:t>data</w:t>
      </w:r>
      <w:r>
        <w:rPr>
          <w:rFonts w:ascii="Times New Roman" w:hAnsi="Times New Roman"/>
          <w:i/>
        </w:rPr>
        <w:t xml:space="preserve"> personali</w:t>
      </w:r>
      <w:r>
        <w:rPr>
          <w:rFonts w:ascii="Times New Roman" w:hAnsi="Times New Roman"/>
        </w:rPr>
        <w:t xml:space="preserve">. Il-konsegwenza ta’ tali ksur hi li l-kontrollur ma jkunx jista’ jiżgura l-konformità mal-prinċipji relatati mal-proċessar ta’ </w:t>
      </w:r>
      <w:r w:rsidR="00BD591B" w:rsidRPr="00BD591B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personali kif spjegat fl-Artikolu 5 tal-GDPR. Dan jixħet dawl fuq id-differenza bejn inċident tas-sigurtà u ksur ta’ </w:t>
      </w:r>
      <w:r w:rsidR="00BD591B" w:rsidRPr="00BD591B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personali – essenzjalment, filwaqt li kull ksur ta’ </w:t>
      </w:r>
      <w:r w:rsidR="00BD591B" w:rsidRPr="00BD591B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personali hu inċident tas-sigurtà, mhux l-inċidenti tas-sigurtà kollha bilfors ikunu ksur ta’ </w:t>
      </w:r>
      <w:r w:rsidR="00BD591B" w:rsidRPr="00BD591B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personali</w:t>
      </w:r>
      <w:r>
        <w:rPr>
          <w:rStyle w:val="FootnoteReference"/>
          <w:rFonts w:ascii="Times New Roman" w:hAnsi="Times New Roman"/>
        </w:rPr>
        <w:footnoteReference w:id="14"/>
      </w:r>
      <w:r>
        <w:rPr>
          <w:rFonts w:ascii="Times New Roman" w:hAnsi="Times New Roman"/>
        </w:rPr>
        <w:t xml:space="preserve">. </w:t>
      </w:r>
    </w:p>
    <w:p w14:paraId="7D52EA16" w14:textId="787C73BC" w:rsidR="00494E3E" w:rsidRPr="0048429E" w:rsidRDefault="009B5536" w:rsidP="0048429E">
      <w:p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L-effetti avversi potenzjali ta’ ksur fuq l-individwi huma kkunsidrati hawn taħt.</w:t>
      </w:r>
    </w:p>
    <w:p w14:paraId="544CB198" w14:textId="0A6C86F1" w:rsidR="00DF1BD8" w:rsidRPr="00FD729F" w:rsidRDefault="00DF1BD8" w:rsidP="00FD729F">
      <w:pPr>
        <w:pStyle w:val="Heading3"/>
      </w:pPr>
      <w:bookmarkStart w:id="11" w:name="_Toc504382227"/>
      <w:r>
        <w:t xml:space="preserve">Tipi ta’ ksur ta’ </w:t>
      </w:r>
      <w:r w:rsidR="00BD591B" w:rsidRPr="00BD591B">
        <w:rPr>
          <w:i/>
        </w:rPr>
        <w:t>data</w:t>
      </w:r>
      <w:r>
        <w:t xml:space="preserve"> personali</w:t>
      </w:r>
      <w:bookmarkEnd w:id="11"/>
    </w:p>
    <w:p w14:paraId="1D45FBFF" w14:textId="5A3CF0F9" w:rsidR="00DF1BD8" w:rsidRDefault="006A63AD" w:rsidP="00DF1BD8">
      <w:p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Fl-Opinjoni tiegħu 03/2014 dwar in-notifika ta’ ksur, id-WP29 spjega li l-ksur jista’ jiġi kategorizzat skont it-tliet prinċipji ferm magħrufa li ġejjin dwar is-sigurtà tal-informazzjoni</w:t>
      </w:r>
      <w:r>
        <w:rPr>
          <w:rStyle w:val="FootnoteReference"/>
          <w:rFonts w:ascii="Times New Roman" w:hAnsi="Times New Roman"/>
        </w:rPr>
        <w:footnoteReference w:id="15"/>
      </w:r>
      <w:r>
        <w:rPr>
          <w:rFonts w:ascii="Times New Roman" w:hAnsi="Times New Roman"/>
        </w:rPr>
        <w:t xml:space="preserve">: </w:t>
      </w:r>
    </w:p>
    <w:p w14:paraId="20E12F12" w14:textId="00EAB8A1" w:rsidR="00DF1BD8" w:rsidRPr="007976FD" w:rsidRDefault="00DF1BD8" w:rsidP="00DF1BD8">
      <w:pPr>
        <w:pStyle w:val="ListParagraph"/>
        <w:numPr>
          <w:ilvl w:val="0"/>
          <w:numId w:val="12"/>
        </w:num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“Ksur tal-kunfidenzjalità” - fejn ikun hemm divulgazzjoni mhux awtorizzata jew aċċidentali ta’ </w:t>
      </w:r>
      <w:r w:rsidR="00BD591B" w:rsidRPr="00BD591B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personali, jew aċċess għal din.</w:t>
      </w:r>
    </w:p>
    <w:p w14:paraId="0591FB96" w14:textId="35C28589" w:rsidR="008E3FAE" w:rsidRDefault="008E3FAE" w:rsidP="008E3FAE">
      <w:pPr>
        <w:pStyle w:val="ListParagraph"/>
        <w:numPr>
          <w:ilvl w:val="0"/>
          <w:numId w:val="12"/>
        </w:num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“Ksur tal-integrità” - fejn ikun hemm alterazzjoni mhux awtorizzata jew aċċidentali ta’ </w:t>
      </w:r>
      <w:r w:rsidR="00BD591B" w:rsidRPr="00BD591B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personali.</w:t>
      </w:r>
    </w:p>
    <w:p w14:paraId="79D77950" w14:textId="77C3DA45" w:rsidR="00DF1BD8" w:rsidRDefault="008E3FAE" w:rsidP="008E3FAE">
      <w:pPr>
        <w:pStyle w:val="ListParagraph"/>
        <w:numPr>
          <w:ilvl w:val="0"/>
          <w:numId w:val="12"/>
        </w:num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 “Ksur tad-disponibbiltà” - fejn ikun hemm telf aċċidentali jew mhux awtorizzat ta’ aċċess</w:t>
      </w:r>
      <w:r>
        <w:rPr>
          <w:rStyle w:val="FootnoteReference"/>
          <w:rFonts w:ascii="Times New Roman" w:hAnsi="Times New Roman"/>
        </w:rPr>
        <w:footnoteReference w:id="16"/>
      </w:r>
      <w:r>
        <w:rPr>
          <w:rFonts w:ascii="Times New Roman" w:hAnsi="Times New Roman"/>
        </w:rPr>
        <w:t xml:space="preserve"> għal </w:t>
      </w:r>
      <w:r w:rsidR="00BD591B" w:rsidRPr="00BD591B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personali, jew il-qerda ta’ din.</w:t>
      </w:r>
    </w:p>
    <w:p w14:paraId="1890979A" w14:textId="31C0B2E5" w:rsidR="007644B4" w:rsidRDefault="007644B4" w:rsidP="00016F7E">
      <w:p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Ta’ min jinnota wkoll li, skont iċ-ċirkustanzi, ksur jista’ jikkonċerna l-kunfidenzjalità, l-integrità u d-disponibbiltà ta’ </w:t>
      </w:r>
      <w:r w:rsidR="00BD591B" w:rsidRPr="00BD591B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personali fl-istess ħin, kif ukoll kwalunkwe taħlita ta’ dawn.</w:t>
      </w:r>
    </w:p>
    <w:p w14:paraId="1966C3D6" w14:textId="1CDE0A5E" w:rsidR="00337917" w:rsidRPr="00505C5F" w:rsidRDefault="00FD3693" w:rsidP="00016F7E">
      <w:pPr>
        <w:spacing w:line="240" w:lineRule="auto"/>
        <w:jc w:val="both"/>
        <w:rPr>
          <w:rFonts w:ascii="Times New Roman" w:hAnsi="Times New Roman"/>
          <w:vanish/>
          <w:specVanish/>
        </w:rPr>
      </w:pPr>
      <w:r>
        <w:rPr>
          <w:rFonts w:ascii="Times New Roman" w:hAnsi="Times New Roman"/>
        </w:rPr>
        <w:t xml:space="preserve">Filwaqt li d-determinazzjoni ta’ jekk seħħx ksur tal-kunfidenzjalità jew tal-integrità hi relattivament ċara, jekk seħħx ksur tad-disponibbiltà jista’ jkun anqas ovvju. Ksur dejjem jitqies bħala ksur tad-disponibbiltà meta jkun seħħ telf permanenti ta’ </w:t>
      </w:r>
      <w:r w:rsidR="00BD591B" w:rsidRPr="00BD591B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personali jew il-qerda ta’ din. </w:t>
      </w:r>
    </w:p>
    <w:p w14:paraId="55892EFC" w14:textId="77777777" w:rsidR="003B0745" w:rsidRDefault="003B0745" w:rsidP="00FE3399">
      <w:pPr>
        <w:pBdr>
          <w:top w:val="single" w:sz="4" w:space="4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</w:t>
      </w:r>
    </w:p>
    <w:p w14:paraId="338F0E2D" w14:textId="0ADC6406" w:rsidR="00337917" w:rsidRPr="00F138EE" w:rsidRDefault="00337917" w:rsidP="00FE3399">
      <w:pPr>
        <w:pBdr>
          <w:top w:val="single" w:sz="4" w:space="4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Eżempju</w:t>
      </w:r>
    </w:p>
    <w:p w14:paraId="44D2C321" w14:textId="583220E8" w:rsidR="00392619" w:rsidRDefault="00337917" w:rsidP="00FE3399">
      <w:pPr>
        <w:pBdr>
          <w:top w:val="single" w:sz="4" w:space="4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Eżempji ta’ telf ta’ disponibbiltà jinkludu każijiet li fihom id-</w:t>
      </w:r>
      <w:r w:rsidR="00BD591B" w:rsidRPr="00BD591B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titħassar b’mod aċċidentali jew minn persuna mhux awtorizzata, jew, fl-eżempju ta’ </w:t>
      </w:r>
      <w:r w:rsidR="00BD591B" w:rsidRPr="00BD591B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kriptata b’mod sigur, tintilef iċ-ċavetta tal-kriptaġġ. F’każ li l-kontrollur ma jkunx jista’ jerġa’ jirrestawra l-aċċess għad-</w:t>
      </w:r>
      <w:r w:rsidR="00BD591B" w:rsidRPr="00BD591B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, pereżempju, minn kopja ta’ riżerva, dan jitqies li hu telf permanenti tad-disponibbiltà. </w:t>
      </w:r>
    </w:p>
    <w:p w14:paraId="0D014182" w14:textId="2F458BFE" w:rsidR="00337917" w:rsidRDefault="00337917" w:rsidP="00FE3399">
      <w:pPr>
        <w:pBdr>
          <w:top w:val="single" w:sz="4" w:space="4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Telf tad-disponibbiltà jista’ jseħħ ukoll meta jkun hemm interruzzjoni sinifikanti fis-servizz normali ta’ organizzazzjoni, pereżempju, qtugħ tad-dawl jew attakk li jwaqqaf is-servizz, li trendi d-</w:t>
      </w:r>
      <w:r w:rsidR="00BD591B" w:rsidRPr="00BD591B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personali indisponibbli.</w:t>
      </w:r>
    </w:p>
    <w:p w14:paraId="714648D1" w14:textId="5BDB7872" w:rsidR="00604EC7" w:rsidRDefault="00CC2703" w:rsidP="00016F7E">
      <w:p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Tista’ tqum il-kwistjoni ta’ jekk telf temporanju tad-disponibbiltà ta’ </w:t>
      </w:r>
      <w:r w:rsidR="00BD591B" w:rsidRPr="00BD591B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personali għandux jitqies bħala ksur u, jekk iva, jekk dan huwiex wieħed li għandu jiġi notifikat. L-Artikolu 32 tal-GDPR, “Sigurtà tal-ipproċessar”, jispjega li meta jiġu implimentati miżuri tekniċi u organizzazzjonali biex jiġi żgurat livell ta’ sigurtà xieraq għar-riskju, għandha tingħata kunsiderazzjoni, fost affarijiet oħra, għall-“kapaċità li jiġu żgurati l-kunfidenzjalità, l-integrità, id-disponibbiltà u r-reżiljenza kontinwi tas-sistemi u s-servizzi ta’ pproċessar” u għall-“kapaċità li jiġu restawrati d-disponibbiltà u l-aċċess għad-</w:t>
      </w:r>
      <w:r w:rsidR="00BD591B" w:rsidRPr="00BD591B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personali fil-pront fil-każ ta’ inċident fiżiku jew tekniku”.</w:t>
      </w:r>
    </w:p>
    <w:p w14:paraId="1ABF759F" w14:textId="33868765" w:rsidR="00E25978" w:rsidRDefault="00604EC7" w:rsidP="00866F7E">
      <w:p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Għaldaqstant, inċident tas-sigurtà li jirriżulta fl-indisponibbiltà ta’ </w:t>
      </w:r>
      <w:r w:rsidR="00BD591B" w:rsidRPr="00BD591B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personali għal perjodu ta’ żmien ukoll hu tip ta’ ksur, peress li n-nuqqas ta’ aċċess għad-</w:t>
      </w:r>
      <w:r w:rsidR="00BD591B" w:rsidRPr="00BD591B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jista’ jkollu impatt sinifikanti fuq id-drittijiet u l-libertajiet tal-persuni fiżiċi. Biex kollox ikun ċar, meta d-</w:t>
      </w:r>
      <w:r w:rsidR="00BD591B" w:rsidRPr="00BD591B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personali ma tkunx disponibbli minħabba t-twettiq ta’ manutenzjoni ppjanata tas-sistema, dan ma jkunx “ksur tas-sigurtà” kif definit fl-Artikolu 4(12). </w:t>
      </w:r>
    </w:p>
    <w:p w14:paraId="0E49D988" w14:textId="3D42309D" w:rsidR="006519D0" w:rsidRDefault="00F567AF" w:rsidP="00866F7E">
      <w:p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Bħal b’telf permanenti jew b’qerda ta’ </w:t>
      </w:r>
      <w:r w:rsidR="00BD591B" w:rsidRPr="00BD591B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personali (jew tabilħaqq kwalunkwe tip ieħor ta’ ksur), ksur li jinvolvi t-telf temporanju tad-disponibbiltà għandu jkun dokumentat f’konformità mal-Artikolu 33(5). Dan jassisti lill-kontrollur fil-wiri ta’ responsabbiltà lill-awtorità superviżorja, li tista’ titlob li tara dawk ir-rekords</w:t>
      </w:r>
      <w:r>
        <w:rPr>
          <w:rStyle w:val="FootnoteReference"/>
          <w:rFonts w:ascii="Times New Roman" w:hAnsi="Times New Roman"/>
        </w:rPr>
        <w:footnoteReference w:id="17"/>
      </w:r>
      <w:r>
        <w:rPr>
          <w:rFonts w:ascii="Times New Roman" w:hAnsi="Times New Roman"/>
        </w:rPr>
        <w:t xml:space="preserve">. Madankollu, skont iċ-ċirkustanzi tal-ksur, dan jista’ jeħtieġ jew ma jeħtieġx notifika lill-awtorità superviżorja u komunikazzjoni lill-individwi affettwati. Il-kontrollur ikollu bżonn jivvaluta l-probabbiltà u s-severità tal-impatt fuq id-drittijiet u fuq il-libertajiet tal-persuni fiżiċi bħala riżultat tan-nuqqas ta’ disponibbiltà ta’ </w:t>
      </w:r>
      <w:r w:rsidR="00BD591B" w:rsidRPr="00BD591B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personali. F’konformità mal-Artikolu 33, il-</w:t>
      </w:r>
      <w:r>
        <w:rPr>
          <w:rFonts w:ascii="Times New Roman" w:hAnsi="Times New Roman"/>
        </w:rPr>
        <w:lastRenderedPageBreak/>
        <w:t xml:space="preserve">kontrollur ikollu bżonn jinnotifika sakemm il-ksur ma jkunx improbabbli li jirriżulta f’riskju għad-drittijiet u għal-libertajiet tal-individwi. Ovvjament, dan ikollu bżonn jiġi vvalutat fuq bażi ta’ każ b’każ. </w:t>
      </w:r>
    </w:p>
    <w:p w14:paraId="30CE6671" w14:textId="0C9836B2" w:rsidR="006519D0" w:rsidRPr="00F138EE" w:rsidRDefault="006519D0" w:rsidP="00FE3399">
      <w:pPr>
        <w:pBdr>
          <w:top w:val="single" w:sz="4" w:space="4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Eżempji</w:t>
      </w:r>
    </w:p>
    <w:p w14:paraId="793CC4AE" w14:textId="20ABB9FA" w:rsidR="006519D0" w:rsidRDefault="006F7AF0" w:rsidP="00FE3399">
      <w:pPr>
        <w:pBdr>
          <w:top w:val="single" w:sz="4" w:space="4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Fil-kuntest ta’ sptar, jekk ma jkunx hemm </w:t>
      </w:r>
      <w:r w:rsidR="00BD591B" w:rsidRPr="00BD591B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medika kritika dwar il-pazjenti disponibbli, anki b’mod temporanju, dan jista’ jippreżenta riskju għad-drittijiet u għal-libertajiet tal-individwi; pereżempju jistgħu jitħassru operazzjonijiet u jinxteħtu f’riskju l-ħajjiet. </w:t>
      </w:r>
    </w:p>
    <w:p w14:paraId="358B83CB" w14:textId="666ECEAC" w:rsidR="00EA069F" w:rsidRPr="00F138EE" w:rsidRDefault="006F7AF0" w:rsidP="00FE3399">
      <w:pPr>
        <w:pBdr>
          <w:top w:val="single" w:sz="4" w:space="4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Għall-kuntrarju, fil-każ ta’ sistemi ta’ kumpanija medjatika li jkunu indisponibbli għal diversi sigħat (eż. minħabba qtugħ tad-dawl), jekk dik il-kumpanija mbagħad ma titħalliex tibgħat bullettini lill-abbonati tagħha, ikun improbabbli li dan jippreżenta riskju għad-drittijiet u għal-libertajiet tal-individwi.</w:t>
      </w:r>
    </w:p>
    <w:p w14:paraId="0FB15928" w14:textId="6FC9BC3E" w:rsidR="00337917" w:rsidRDefault="00672F48" w:rsidP="00016F7E">
      <w:p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Ta’ min jinnota li għad li telf tad-disponibbiltà tas-sistemi ta’ kontrollur jista’ jkun temporanju biss u jaf ma jkollux impatt fuq l-individwi, importanti li l-kontrollur jikkunsidra l-konsegwenzi possibbli kollha ta’ ksur, peress li dan xorta waħda jista’ jkun jeħtieġ notifika għal raġunijiet oħra. </w:t>
      </w:r>
    </w:p>
    <w:p w14:paraId="175E7285" w14:textId="719041A5" w:rsidR="00337917" w:rsidRPr="00F138EE" w:rsidRDefault="00337917" w:rsidP="00FE3399">
      <w:pPr>
        <w:pBdr>
          <w:top w:val="single" w:sz="4" w:space="4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Eżempju</w:t>
      </w:r>
    </w:p>
    <w:p w14:paraId="1D5C1B4E" w14:textId="6ECF6E34" w:rsidR="00337917" w:rsidRPr="00F138EE" w:rsidRDefault="00CF4230" w:rsidP="00FE3399">
      <w:pPr>
        <w:pBdr>
          <w:top w:val="single" w:sz="4" w:space="4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Infezzjoni bi programm ta’ riskatt (softwer malizzjuż li jikkripta d-</w:t>
      </w:r>
      <w:r w:rsidR="00BD591B" w:rsidRPr="00BD591B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tal-kontrollur sakemm jitħallas rikatt) tista’ twassal għal telf temporanju tad-disponibbiltà jekk id-</w:t>
      </w:r>
      <w:r w:rsidR="00BD591B" w:rsidRPr="00BD591B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tista’ tiġi rkuprata mill-kopji ta’ riżerva. Madankollu, intrużjoni fin-netwerk xorta waħda tkun seħħet, u tista’ tkun meħtieġa notifika jekk l-inċident jiġi kwalifikat bħala ksur tal-kunfidenzjalità (jiġifieri d-</w:t>
      </w:r>
      <w:r w:rsidR="00BD591B" w:rsidRPr="00BD591B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personali tiġi aċċessata mit-trasgressur) u dan jippreżenta riskju għad-drittijiet u għal-libertajiet tal-individwi. </w:t>
      </w:r>
    </w:p>
    <w:p w14:paraId="67F21470" w14:textId="3AF993C0" w:rsidR="007A0B8B" w:rsidRPr="00500B65" w:rsidRDefault="007A0B8B" w:rsidP="00500B65">
      <w:pPr>
        <w:pStyle w:val="Heading3"/>
      </w:pPr>
      <w:bookmarkStart w:id="12" w:name="_Toc504382228"/>
      <w:r>
        <w:t xml:space="preserve">Il-konsegwenzi possibbli ta’ ksur ta’ </w:t>
      </w:r>
      <w:r w:rsidR="00BD591B" w:rsidRPr="00BD591B">
        <w:rPr>
          <w:i/>
        </w:rPr>
        <w:t>data</w:t>
      </w:r>
      <w:r>
        <w:t xml:space="preserve"> personali</w:t>
      </w:r>
      <w:bookmarkEnd w:id="12"/>
    </w:p>
    <w:p w14:paraId="4D06F955" w14:textId="57AFB350" w:rsidR="00394D46" w:rsidRDefault="0085299B" w:rsidP="00EA2CD0">
      <w:p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Ksur għandu l-potenzjal li jkollu firxa ta’ effetti avversi sinifikanti fuq l-individwi, li jistgħu jirriżultaw fi ħsara fiżika, materjali jew mhux materjali. Il-GDPR jispjega li dan jista’ jinkludi telf ta’ kontroll fuq id-</w:t>
      </w:r>
      <w:r w:rsidR="00BD591B" w:rsidRPr="00BD591B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personali tagħhom, limitazzjoni tad-drittijiet tagħhom, diskriminazzjoni, serq jew frodi tal-identità, telf finanzjarju, treġġigħ lura mhux awtorizzat tal-psewdonimizzazzjoni, ħsara għar-reputazzjoni, u telf tal-kunfidenzjalità tad-</w:t>
      </w:r>
      <w:r w:rsidR="00BD591B" w:rsidRPr="00BD591B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personali protetta b’segretezza professjonali. Jista’ jinkludi wkoll kwalunkwe żvantaġġ ekonomiku jew soċjali sinifikanti ieħor għal dawk l-individwi</w:t>
      </w:r>
      <w:r>
        <w:rPr>
          <w:rStyle w:val="FootnoteReference"/>
          <w:rFonts w:ascii="Times New Roman" w:hAnsi="Times New Roman"/>
        </w:rPr>
        <w:footnoteReference w:id="18"/>
      </w:r>
      <w:r>
        <w:rPr>
          <w:rFonts w:ascii="Times New Roman" w:hAnsi="Times New Roman"/>
        </w:rPr>
        <w:t>.</w:t>
      </w:r>
    </w:p>
    <w:p w14:paraId="1F981A42" w14:textId="511DE2FD" w:rsidR="00844E11" w:rsidRDefault="00844E11" w:rsidP="00EA2CD0">
      <w:p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Għaldaqstant, il-GPDR jeħtieġ li l-kontrollur jinnotifika ksur lill-awtorità superviżorja kompetenti, sakemm ma jkunx improbabbli li dan jirriżulta f’riskju li jseħħu t-tali effetti avversi. Meta jkun hemm riskju għoli probabbli li jseħħu dawn l-effetti avversi, il-GDPR jeħtieġ li l-kontrollur jikkomunika l-ksur lill-individwi affettwati malli dan ikun raġonevolment fattibbli</w:t>
      </w:r>
      <w:r>
        <w:rPr>
          <w:rStyle w:val="FootnoteReference"/>
          <w:rFonts w:ascii="Times New Roman" w:hAnsi="Times New Roman"/>
        </w:rPr>
        <w:footnoteReference w:id="19"/>
      </w:r>
      <w:r>
        <w:rPr>
          <w:rFonts w:ascii="Times New Roman" w:hAnsi="Times New Roman"/>
        </w:rPr>
        <w:t>.</w:t>
      </w:r>
    </w:p>
    <w:p w14:paraId="6B0D85E3" w14:textId="00D63BAC" w:rsidR="005E3679" w:rsidRDefault="005E3679" w:rsidP="00EA2CD0">
      <w:p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L-importanza li jkun jista’ jiġi identifikat ksur, għall-valutazzjoni tar-riskju għall-individwi, u mbagħad issir notifika jekk tkun meħtieġa, hi enfasizzata fil-Premessa 87 tal-GDPR:</w:t>
      </w:r>
    </w:p>
    <w:p w14:paraId="2972D254" w14:textId="31FA4C35" w:rsidR="00EA069F" w:rsidRPr="005E3679" w:rsidRDefault="005E3679" w:rsidP="00FE3399">
      <w:pPr>
        <w:pBdr>
          <w:top w:val="single" w:sz="4" w:space="4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“Għandu jiġi vverifikat jekk kull protezzjoni teknoloġika xierqa u miżuri organizzattivi ġewx implimentati biex jiġi stabbilit immedjatament jekk seħħitx vjolazzjoni ta’ </w:t>
      </w:r>
      <w:r w:rsidR="00BD591B" w:rsidRPr="00BD591B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personali u biex jiġu informati minnufih l-awtorità superviżorja u s-suġġett tad-</w:t>
      </w:r>
      <w:r w:rsidR="00BD591B" w:rsidRPr="00BD591B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>. Il-fatt li n-notifika saret mingħajr dewmien żejjed għandu jiġi stabbilit filwaqt li jitqiesu b’mod partikolari n-natura u l-gravità tal-</w:t>
      </w:r>
      <w:r>
        <w:rPr>
          <w:rFonts w:ascii="Times New Roman" w:hAnsi="Times New Roman"/>
        </w:rPr>
        <w:lastRenderedPageBreak/>
        <w:t>vjolazzjoni tad-</w:t>
      </w:r>
      <w:r w:rsidR="00BD591B" w:rsidRPr="00BD591B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personali u l-konsegwenzi u l-effetti negattivi tagħha għas-suġġett tad-</w:t>
      </w:r>
      <w:r w:rsidR="00BD591B" w:rsidRPr="00BD591B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. Notifika bħal din tista’ tirriżulta f’intervent mill-awtorità superviżorja f’konformità mal-kompiti u s-setgħat tagħha stabbiliti f’dan ir-Regolament.” </w:t>
      </w:r>
    </w:p>
    <w:p w14:paraId="35DF23D3" w14:textId="77777777" w:rsidR="00505C5F" w:rsidRDefault="00146F3C" w:rsidP="00505C5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Linji gwida ulterjuri dwar il-valutazzjoni tar-riskju ta’ effetti avversi għall-individwi huma kkunsidrati fit-taqsima IV. </w:t>
      </w:r>
    </w:p>
    <w:p w14:paraId="38E1B4CD" w14:textId="77777777" w:rsidR="00505C5F" w:rsidRDefault="00505C5F" w:rsidP="00505C5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14:paraId="22996B9E" w14:textId="3A0A307D" w:rsidR="00B7727B" w:rsidRDefault="00794AE5" w:rsidP="00505C5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Jekk il-kontrolluri jonqsu milli jinnotifikaw lill-awtorità superviżorja jew inkella lis-suġġetti tad-</w:t>
      </w:r>
      <w:r w:rsidR="00BD591B" w:rsidRPr="00BD591B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dwar ksur ta’ </w:t>
      </w:r>
      <w:r w:rsidR="00BD591B" w:rsidRPr="00BD591B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jew lit-tnejn anki jekk jiġu ssodisfati r-rekwiżiti tal-Artikoli 33 u/jew 34, l-awtorità superviżorja jkollha għażla li trid tinkludi kunsiderazzjoni tal-miżuri korrettivi kollha għad-dispożizzjoni tagħha, li jkunu jinkludu kunsiderazzjoni tal-impożizzjoni tal-multa amministrattiva xierqa</w:t>
      </w:r>
      <w:r>
        <w:rPr>
          <w:rStyle w:val="FootnoteReference"/>
          <w:rFonts w:ascii="Times New Roman" w:hAnsi="Times New Roman"/>
        </w:rPr>
        <w:footnoteReference w:id="20"/>
      </w:r>
      <w:r>
        <w:rPr>
          <w:rFonts w:ascii="Times New Roman" w:hAnsi="Times New Roman"/>
        </w:rPr>
        <w:t xml:space="preserve">, jew flimkien ma’ miżura korrettiva skont l-Artikolu 58(2) jew waħedha. Meta tingħażel multa amministrattiva, il-valur ta’ din jista’ jitla’ sa 10,000,000 EUR jew sa 2 % tal-fatturat annwali dinji totali ta’ impriża skont l-Artikolu 83(4)(a) tal-GDPR. Importanti wkoll li jitfakkar li f’ċerti każijiet, in-nuqqas ta’ notifika ta’ ksur jista’ jew jikxef nuqqas ta’ miżuri ta’ sigurtà eżistenti jew inkella inadegwatezza tal-miżuri ta’ sigurtà eżistenti. Il-linji gwida tad-WP29 dwar il-multi amministrattivi jistipulaw: “L-okkorrenza ta’ għadd ta’ ksur differenti li twettqu flimkien f’każ wieħed partikolari jfisser li l-awtorità superviżorja tista’ tapplika l-multi amministrattivi f’livell li jkun effettiv, proporzjonat u dissważiv fil-limitu tal-aktar ksur gravi”. F’dak il-każ, l-awtorità superviżorja ser ikollha wkoll il-possibbiltà li toħroġ sanzjonijiet għal nuqqas ta’ notifika jew ta’ komunikazzjoni tal-ksur (Artikoli 33 u 34) minn naħa, u nuqqas ta’ miżuri (adegwati) ta’ sigurtà (Artikolu 32) min-naħa l-oħra, peress li dawn huma żewġ tipi ta’ ksur separati.  </w:t>
      </w:r>
    </w:p>
    <w:p w14:paraId="2E702E5B" w14:textId="77777777" w:rsidR="00F86502" w:rsidRPr="00505C5F" w:rsidRDefault="00F86502" w:rsidP="00505C5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</w:rPr>
      </w:pPr>
    </w:p>
    <w:p w14:paraId="46DE623F" w14:textId="77777777" w:rsidR="00B50D1E" w:rsidRPr="007E2DA1" w:rsidRDefault="00B50D1E" w:rsidP="00B50D1E">
      <w:pPr>
        <w:spacing w:line="240" w:lineRule="auto"/>
        <w:jc w:val="both"/>
      </w:pPr>
    </w:p>
    <w:p w14:paraId="12E7F696" w14:textId="77777777" w:rsidR="00086A2B" w:rsidRPr="00086A2B" w:rsidRDefault="00086A2B" w:rsidP="00086A2B">
      <w:pPr>
        <w:pStyle w:val="Heading1"/>
        <w:rPr>
          <w:b w:val="0"/>
        </w:rPr>
      </w:pPr>
      <w:bookmarkStart w:id="13" w:name="_Toc504382229"/>
      <w:bookmarkEnd w:id="4"/>
      <w:r>
        <w:t>Artikolu 33 - Notifika lill-awtorità superviżjorja</w:t>
      </w:r>
      <w:bookmarkEnd w:id="13"/>
    </w:p>
    <w:p w14:paraId="67EB87EB" w14:textId="77777777" w:rsidR="00842B05" w:rsidRDefault="00842B05" w:rsidP="00842B05">
      <w:pPr>
        <w:pStyle w:val="Heading2"/>
        <w:rPr>
          <w:u w:val="none"/>
        </w:rPr>
      </w:pPr>
      <w:bookmarkStart w:id="14" w:name="_Toc504382230"/>
      <w:r>
        <w:rPr>
          <w:u w:val="none"/>
        </w:rPr>
        <w:t>Meta tinnotifika</w:t>
      </w:r>
      <w:bookmarkEnd w:id="14"/>
    </w:p>
    <w:p w14:paraId="51CA41C0" w14:textId="1CA5E0E4" w:rsidR="00842B05" w:rsidRPr="00842B05" w:rsidRDefault="00842B05" w:rsidP="00842B05">
      <w:pPr>
        <w:pStyle w:val="Heading3"/>
      </w:pPr>
      <w:bookmarkStart w:id="15" w:name="_Toc504382231"/>
      <w:r>
        <w:t>Artikolu 33 rekwiżiti</w:t>
      </w:r>
      <w:bookmarkEnd w:id="15"/>
    </w:p>
    <w:p w14:paraId="061A5EEF" w14:textId="32998670" w:rsidR="00B7727B" w:rsidRDefault="00086A2B" w:rsidP="00086A2B">
      <w:p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L-Artikolu 33(1) jistipula li:</w:t>
      </w:r>
    </w:p>
    <w:p w14:paraId="0BFBC264" w14:textId="54B382B9" w:rsidR="00190C05" w:rsidRPr="00B7727B" w:rsidRDefault="00C24869" w:rsidP="00775663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"Fil-każ ta' ksur ta' </w:t>
      </w:r>
      <w:r w:rsidR="00BD591B" w:rsidRPr="00BD591B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personali, il-kontrollur għandu mingħajr dewmien bla bżonn u, fejn fattibbli, mhux aktar tard minn 72 siegħa wara li jkun sar jaf bih, jinnotifika l-ksur tad-</w:t>
      </w:r>
      <w:r w:rsidR="00BD591B" w:rsidRPr="00BD591B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personali lill-awtorità superviżorja kompetenti f'konformità mal-Artikolu 55 ħlief jekk il-ksur ta' </w:t>
      </w:r>
      <w:r w:rsidR="00BD591B" w:rsidRPr="00BD591B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personali x'aktarx ma jirriżultax f'riskju għad-drittijiet u l-libertajiet tal-persuni fiżiċi. Fejn in-notifika lill-awtorità superviżorja ma ssirx fi żmien 72 siegħa, hija għandha tkun akkumpanjata minn raġunijiet għad-dewmien.”</w:t>
      </w:r>
    </w:p>
    <w:p w14:paraId="19970E22" w14:textId="021EA470" w:rsidR="00190C05" w:rsidRPr="001F43A1" w:rsidRDefault="00190C05" w:rsidP="001F43A1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Il-Premessa 87 tipprovdi li</w:t>
      </w:r>
      <w:r>
        <w:rPr>
          <w:rStyle w:val="FootnoteReference"/>
          <w:rFonts w:ascii="Times New Roman" w:hAnsi="Times New Roman"/>
        </w:rPr>
        <w:footnoteReference w:id="21"/>
      </w:r>
      <w:r>
        <w:rPr>
          <w:rFonts w:ascii="Times New Roman" w:hAnsi="Times New Roman"/>
        </w:rPr>
        <w:t>:</w:t>
      </w:r>
    </w:p>
    <w:p w14:paraId="76405BA4" w14:textId="2C636FC6" w:rsidR="00190C05" w:rsidRPr="00A92129" w:rsidRDefault="00190C05" w:rsidP="00A92129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“Għandu jiġi vverifikat jekk kull protezzjoni teknoloġika xierqa u miżuri organizzattivi ġewx implimentati biex jiġi stabbilit immedjatament jekk seħħitx vjolazzjoni ta’ </w:t>
      </w:r>
      <w:r w:rsidR="00BD591B" w:rsidRPr="00BD591B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personali u biex jiġu informati minnufih l-awtorità superviżorja u s-suġġett tad-</w:t>
      </w:r>
      <w:r w:rsidR="00BD591B" w:rsidRPr="00BD591B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>. Il-fatt li n-notifika saret mingħajr dewmien żejjed għandu jiġi stabbilit filwaqt li jitqiesu b’mod partikolari n-natura u l-gravità tal-</w:t>
      </w:r>
      <w:r>
        <w:rPr>
          <w:rFonts w:ascii="Times New Roman" w:hAnsi="Times New Roman"/>
        </w:rPr>
        <w:lastRenderedPageBreak/>
        <w:t>vjolazzjoni tad-</w:t>
      </w:r>
      <w:r w:rsidR="00BD591B" w:rsidRPr="00BD591B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personali u l-konsegwenzi u l-effetti negattivi tagħha għas-suġġett tad-</w:t>
      </w:r>
      <w:r w:rsidR="00BD591B" w:rsidRPr="00BD591B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>. Notifika bħal din tista’ tirriżulta f’intervent mill-awtorità superviżorja f’konformità mal-kompiti u s-setgħat tagħha stabbiliti f’dan ir-Regolament.”</w:t>
      </w:r>
    </w:p>
    <w:p w14:paraId="14E69250" w14:textId="77777777" w:rsidR="00E5244A" w:rsidRPr="00500B65" w:rsidRDefault="00E5244A" w:rsidP="00842B05">
      <w:pPr>
        <w:pStyle w:val="Heading3"/>
      </w:pPr>
      <w:bookmarkStart w:id="16" w:name="_Toc504382232"/>
      <w:r>
        <w:t>Kontrollur meta jsir “konxju”?</w:t>
      </w:r>
      <w:bookmarkEnd w:id="16"/>
    </w:p>
    <w:p w14:paraId="2637A036" w14:textId="5B4C072A" w:rsidR="00451C8B" w:rsidRDefault="00350B89" w:rsidP="00E5244A">
      <w:p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Kif spjegat aktar ’il fuq, il-GDPR jeħtieġ li, f’każ ta’ ksur, il-kontrollur għandu jinnotifika l-ksur mingħajr dewmien żejjed u, fejn fattibbli, mhux aktar tard minn 72 siegħa wara li jkun sar konxju tiegħu. Dan jista’ jqajjem il-kwistjoni ta’ meta kontrollur jista’ jitqies li sar “konxju” ta’ ksur. Id-WP29 iqis li kontrollur għandu jitqies li sar “konxju” meta dak il-kontrollur ikollu grad raġonevoli ta’ ċertezza li seħħ inċident tas-sigurtà li wassal biex id-</w:t>
      </w:r>
      <w:r w:rsidR="00BD591B" w:rsidRPr="00BD591B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personali tkun kompromessa. </w:t>
      </w:r>
    </w:p>
    <w:p w14:paraId="21EC4251" w14:textId="2B2845E5" w:rsidR="00451C8B" w:rsidRDefault="00451C8B" w:rsidP="00E5244A">
      <w:p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Madankollu, kif indikat qabel, il-GDPR jeħtieġ li l-kontrollur jimplimenta l-miżuri tekniċi xierqa kollha ta’ protezzjoni u organizzazzjonali biex jistabbilixxi minnufih jekk seħħx ksur u biex jinforma minnufih lill-awtorità superviżorja u lis-suġġetti tad-</w:t>
      </w:r>
      <w:r w:rsidR="00BD591B" w:rsidRPr="00BD591B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>. Jiddikjara wkoll li l-fatt li n-notifika tkun saret mingħajr dewmien żejjed għandu jiġi stabbilit filwaqt li jitqiesu b’mod partikolari n-natura u l-gravità tal-ksur u l-konsegwenzi u l-effetti negattivi tagħha għas-suġġett tad-</w:t>
      </w:r>
      <w:r w:rsidR="00BD591B" w:rsidRPr="00BD591B">
        <w:rPr>
          <w:rFonts w:ascii="Times New Roman" w:hAnsi="Times New Roman"/>
          <w:i/>
        </w:rPr>
        <w:t>data</w:t>
      </w:r>
      <w:r>
        <w:rPr>
          <w:rStyle w:val="FootnoteReference"/>
          <w:rFonts w:ascii="Times New Roman" w:hAnsi="Times New Roman"/>
        </w:rPr>
        <w:footnoteReference w:id="22"/>
      </w:r>
      <w:r>
        <w:rPr>
          <w:rFonts w:ascii="Times New Roman" w:hAnsi="Times New Roman"/>
        </w:rPr>
        <w:t>. Dan jixħet obbligu fuq il-kontrollur biex jiżgura li dan isir “konxju” minn kwalunkwe ksur fil-ħin biex ikun jista’ jieħu l-azzjoni xierqa.</w:t>
      </w:r>
    </w:p>
    <w:p w14:paraId="6C87CB2C" w14:textId="01E40DD8" w:rsidR="00E5244A" w:rsidRPr="00847C6E" w:rsidRDefault="00451C8B" w:rsidP="00E5244A">
      <w:p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Meta, eżattament, kontrollur jista’ jitqies li sar “konxju” dwar ksur partikolari jkun jiddependi miċ-ċirkustanzi tal-ksur speċifiku. F’ċerti każijiet, ikun relattivament ċar mill-bidu nett li jkun seħħ ksur, filwaqt li f’oħrajn jista’ jkun hemm bżonn ta’ ċertu żmien biex jiġi stabbilit jekk inxteħtitx f'riskju </w:t>
      </w:r>
      <w:r w:rsidR="00BD591B" w:rsidRPr="00BD591B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personali. Madankollu, l-enfasi għandha tinxteħet fuq it-teħid ta’ azzjoni minnufih biex jiġi investigat inċident għad-determinazzjoni ta’ jekk seħħx tabilħaqq ksur tad-</w:t>
      </w:r>
      <w:r w:rsidR="00BD591B" w:rsidRPr="00BD591B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personali, u jekk iva, biex tittieħed azzjoni ta’ rimedju u jiġi notifikat jekk ikun hemm bżonn.</w:t>
      </w:r>
    </w:p>
    <w:p w14:paraId="4C1DB969" w14:textId="3F5F61E2" w:rsidR="00C24869" w:rsidRPr="00847C6E" w:rsidRDefault="00C24869" w:rsidP="00C24869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Eżempji</w:t>
      </w:r>
    </w:p>
    <w:p w14:paraId="2B5ED780" w14:textId="77777777" w:rsidR="00C24869" w:rsidRPr="00847C6E" w:rsidRDefault="00C24869" w:rsidP="00C24869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</w:p>
    <w:p w14:paraId="7CB149EB" w14:textId="59EA4E0D" w:rsidR="003F48EF" w:rsidRDefault="00A4618A" w:rsidP="00C24869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 Fil-każ ta’ telf ta’ USB key b’</w:t>
      </w:r>
      <w:r w:rsidR="00BD591B" w:rsidRPr="00BD591B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personali mhux kriptata, spiss ma jkunx possibbli li jiġi żgurat jekk persuni mhux awtorizzati aċċessawx dik id-</w:t>
      </w:r>
      <w:r w:rsidR="00BD591B" w:rsidRPr="00BD591B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. Minkejja dan, għad li l-kontrollur jaf ma jkunx jista’ jistabbilixxi jekk seħħx ksur tal-kunfidenzjalità, każ bħal dan irid jiġi notifikat peress li jkun hemm grad raġonevoli ta’ ċertezza li seħħ ksur tad-disponibbiltà; il-kontrollur isir “konxju” meta jintebaħ li ntilfet il-USB key.   </w:t>
      </w:r>
    </w:p>
    <w:p w14:paraId="6AF390B7" w14:textId="6A548917" w:rsidR="003F48EF" w:rsidRDefault="00A4618A" w:rsidP="008D6851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 Parti terza tinforma lil kontrollur li aċċidentalment irċiviet id-</w:t>
      </w:r>
      <w:r w:rsidR="00BD591B" w:rsidRPr="00BD591B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personali ta’ wieħed mill-klijenti tiegħu u tipprovdi evidenza tad-divulgazzjoni mhux awtorizzata. Peress li l-kontrollur jiġi ppreżentat b’evidenza ċara ta’ ksur tal-kunfidenzjalità, ma jista’ jkun hemm ebda dubju li sar “konxju”.</w:t>
      </w:r>
    </w:p>
    <w:p w14:paraId="4682552B" w14:textId="7D66DC4D" w:rsidR="001F4856" w:rsidRDefault="00A4618A" w:rsidP="008D6851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3. Kontrollur isib li seħħet intrużjoni possibbli fin-netwerk tiegħu. Il-kontrollur jivverifika s-sistemi tiegħu biex jistabbilixxi jekk </w:t>
      </w:r>
      <w:r w:rsidR="00BD591B" w:rsidRPr="00BD591B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personali miżmuma fuq dik is-sistema nxteħtitx f’riskju u jikkonferma li dan hu l-każ. Mill-ġdid, peress li issa l-kontrollur ikollu evidenza ċara ta’ ksur, ma jista’ jkun hemm ebda dubju li sar “konxju”.</w:t>
      </w:r>
    </w:p>
    <w:p w14:paraId="0F28899C" w14:textId="255A4878" w:rsidR="006400D5" w:rsidRDefault="00A4618A" w:rsidP="008D6851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4. Ċiberkriminal jikkuntattja lill-kontrollur wara li jkun daħallu fis-sistema bla permess biex jitlob ħlas għar-riskatt. F’dak il-każ, wara li jivverifika s-sistema tiegħu biex jikkonferma li ġiet attakkata, il-kontrollur ikollu evidenza ċara li seħħ ksur u ma jkun hemm ebda dubju li sar konxju.</w:t>
      </w:r>
    </w:p>
    <w:p w14:paraId="6295DC0F" w14:textId="3F99ED82" w:rsidR="00924354" w:rsidRDefault="00E5244A" w:rsidP="00870505">
      <w:p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Wara li l-ewwel jiġi informat dwar ksur potenzjali minn individwu, minn organizzazzjoni medjatika, jew minn sors ieħor, jew meta hu stess jiskopri inċident tas-sigurtà, il-kontrollur jista’ jagħmel </w:t>
      </w:r>
      <w:r>
        <w:rPr>
          <w:rFonts w:ascii="Times New Roman" w:hAnsi="Times New Roman"/>
        </w:rPr>
        <w:lastRenderedPageBreak/>
        <w:t xml:space="preserve">perjodu qasir ta’ investigazzjoni biex jistabbilixxi jekk fil-fatt seħħx ksur. Matul dan il-perjodu ta’ investigazzjoni, il-kontrollur ma jistax jitqies bħala “konxju”. Madankollu, hu mistenni li l-investigazzjoni inizjali tibda mill-aktar fis possibbli u tistabbilixxi bi grad raġonevoli ta’ ċertezza jekk seħħx ksur; imbagħad tkun tista’ ssir investigazzjoni aktar dettaljata. </w:t>
      </w:r>
    </w:p>
    <w:p w14:paraId="0EDACBDE" w14:textId="1E1EF6C2" w:rsidR="0073010F" w:rsidRDefault="00026962" w:rsidP="00E5244A">
      <w:p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Ladarba l-kontrollur isir konxju, ksur notifikabbli jrid jiġi notifikat mingħajr dewmien żejjed u, fejn fattibbli, mhux wara 72 siegħa. Matul dan il-perjodu, il-kontrollur għandu jivvaluta r-riskju probabbli għall-individwi biex jiddetermina jekk ir-rekwiżit għan-notifika tnediex, kif ukoll l-azzjoni(jiet) meħtieġa biex jiġi indirizzat il-ksur. Madankollu, kontrollur jaf diġà jkollu valutazzjoni inizjali tar-riskju potenzjali li jista’ jirriżulta minn ksur bħala parti minn valutazzjoni tal-impatt tal-protezzjoni tad-</w:t>
      </w:r>
      <w:r w:rsidR="00BD591B" w:rsidRPr="00BD591B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(DPIA)</w:t>
      </w:r>
      <w:r>
        <w:rPr>
          <w:rStyle w:val="FootnoteReference"/>
          <w:rFonts w:ascii="Times New Roman" w:hAnsi="Times New Roman"/>
        </w:rPr>
        <w:footnoteReference w:id="23"/>
      </w:r>
      <w:r>
        <w:rPr>
          <w:rFonts w:ascii="Times New Roman" w:hAnsi="Times New Roman"/>
        </w:rPr>
        <w:t xml:space="preserve"> li ssir qabel ma titwettaq l-operazzjoni ta’ proċessar ikkonċernata. Madankollu, id-DPIA tista’ tkun aktar ġeneralizzata meta mqabbla maċ-ċirkustanzi speċifiċi ta’ kwalunkwe ksur, u b’hekk ser ikun hemm bżonn li fi kwalunkwe każ issir valutazzjoni addizzjonali li tikkunsidra dawk iċ-ċirkustanzi. Għal aktar dettall dwar il-valutazzjoni tar-riskju, ara t-taqsima IV. </w:t>
      </w:r>
    </w:p>
    <w:p w14:paraId="74A932A7" w14:textId="3D4BE27B" w:rsidR="00E54017" w:rsidRPr="00847C6E" w:rsidRDefault="00E5244A" w:rsidP="00E5244A">
      <w:p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F’ħafna mill-każijiet, dawn l-azzjonijiet preliminari għandhom jitwettqu ftit wara t-twissija inizjali (jiġifieri meta l-kontrollur jew il-proċessur jissuspetta li seħħ inċident tas-sigurtà li jista’ jinvolvi </w:t>
      </w:r>
      <w:r w:rsidR="00BD591B" w:rsidRPr="00BD591B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personali). – għandu jittieħed żmien itwal minn dan f’każijiet eċċezzjonali biss</w:t>
      </w:r>
      <w:r>
        <w:rPr>
          <w:rStyle w:val="CommentReference"/>
        </w:rPr>
        <w:t>.</w:t>
      </w:r>
    </w:p>
    <w:p w14:paraId="5A70C411" w14:textId="77777777" w:rsidR="00395852" w:rsidRDefault="00395852" w:rsidP="00395852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  <w:b/>
        </w:rPr>
        <w:t>Eżempju</w:t>
      </w:r>
    </w:p>
    <w:p w14:paraId="331EAE65" w14:textId="00843E3B" w:rsidR="00395852" w:rsidRPr="006608B4" w:rsidRDefault="00395852" w:rsidP="00775663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Individwu jinforma lill-kontrollur li rċieva ittra elettronika li tippersonifika lill-kontrollur li fiha </w:t>
      </w:r>
      <w:r w:rsidR="00BD591B" w:rsidRPr="00BD591B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personali relatata mal-użu (propju) tiegħu tas-servizz tal-kontrollur, xi ħaġa li tissuġġerixxi li s-sigurtà tal-kontrollur tinsab f’riskju. Il-kontrollur jiddedika perjodu qasir ta’ investigazzjoni u jidentifika intrużjoni fin-netwerk tiegħu u evidenza ta’ aċċess mhux awtorizzat għal </w:t>
      </w:r>
      <w:r w:rsidR="00BD591B" w:rsidRPr="00BD591B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personali. Il-kontrollur issa jitqies li hu “konxju” u jkun hemm bżonn ta’ notifika lill-awtorità superviżorja sakemm ma jkunx improbabbli li dan jippreżenta riskju għad-drittijiet u għal-libertajiet tal-individwi. Il-kontrollur ser ikollu bżonn jieħu azzjoni korrettiva xierqa biex jindirizza l-ksur.</w:t>
      </w:r>
    </w:p>
    <w:p w14:paraId="7D1D8DC9" w14:textId="2351F4CA" w:rsidR="00331664" w:rsidRDefault="00E5244A" w:rsidP="00870505">
      <w:p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Għaldaqstant, il-kontrollur għandu jkollu proċessi interni fis-seħħ biex ikun jista’ jindividwa u jindirizza ksur. Pereżempju, għas-sejbien ta’ ċerti irregolaritajiet fil-proċessar ta’ </w:t>
      </w:r>
      <w:r w:rsidR="00BD591B" w:rsidRPr="00BD591B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>, il-kontrollur jew il-proċessur jista’ juża ċerti miżuri tekniċi bħal analizzaturi tal-fluss u tal-logg tad-</w:t>
      </w:r>
      <w:r w:rsidR="00BD591B" w:rsidRPr="00BD591B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, li minnhom hu possibbli li jiġu definiti avvenimenti u twissijiet bil-korrelazzjoni ta’ kwalunkwe </w:t>
      </w:r>
      <w:r w:rsidR="00BD591B" w:rsidRPr="00BD591B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tal-logg</w:t>
      </w:r>
      <w:r>
        <w:rPr>
          <w:rStyle w:val="FootnoteReference"/>
          <w:rFonts w:ascii="Times New Roman" w:hAnsi="Times New Roman"/>
        </w:rPr>
        <w:footnoteReference w:id="24"/>
      </w:r>
      <w:r>
        <w:rPr>
          <w:rFonts w:ascii="Times New Roman" w:hAnsi="Times New Roman"/>
        </w:rPr>
        <w:t>. Importanti li meta jinstab ksur, dan jiġi rrapportat ’il fuq lil-livell xieraq tal-maniġment biex ikun jista’ jiġi indirizzat u, jekk ikun hemm bżonn, notifikat f’konformità mal-Artikolu 33 u, jekk ikun hemm bżonn, mal-Artikolu 34. Miżuri u mekkaniżmi ta’ rapportar bħal dawn jistgħu jiġu spjegati fil-pjanijiet ta’ rispons għal inċident u/jew fl-arranġamenti ta’ governanza tal-kontrollur. Dawn jgħinu lill-kontrollur jippjana b’mod effettiv u jiddetermina min għandu responsabbiltà operazzjonali fi ħdan l-organizzazzjoni għall-ġestjoni ta’ ksur u kif jew jekk jeskalax inċident kif xieraq.</w:t>
      </w:r>
    </w:p>
    <w:p w14:paraId="26BA91A1" w14:textId="70AEBA23" w:rsidR="00331664" w:rsidRDefault="00BB5A48" w:rsidP="0073010F">
      <w:p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Il-kontrollur għandu jkollu fis-seħħ ukoll arranġamenti ma’ kwalunkwe proċessar li juża l-kontrollur, li hu stess għandu l-obbligu li jinnotifika lill-kontrollur f'każ ta’ ksur (ara aktar ’il quddiem). </w:t>
      </w:r>
    </w:p>
    <w:p w14:paraId="63FF1D6D" w14:textId="5B0046E9" w:rsidR="00390762" w:rsidRPr="007229D2" w:rsidRDefault="00390762" w:rsidP="00390762"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Filwaqt li hi r-responsabbiltà tal-kontrolluri u tal-proċessuri li jimplimentaw miżuri xierqa biex ikunu jistgħu jipprevjenu ksur, jirreaġixxu għalih u jindirizzawh hemm xi passi prattiki li għandhom jittieħdu f’kull każ.</w:t>
      </w:r>
    </w:p>
    <w:p w14:paraId="4D18D702" w14:textId="77777777" w:rsidR="00390762" w:rsidRDefault="00390762" w:rsidP="00390762">
      <w:pPr>
        <w:pStyle w:val="ListParagraph"/>
        <w:numPr>
          <w:ilvl w:val="0"/>
          <w:numId w:val="35"/>
        </w:numPr>
        <w:spacing w:line="240" w:lineRule="auto"/>
        <w:ind w:left="714" w:hanging="357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L-informazzjoni li tikkonċerna l-avvenimenti kollha relatati mas-sigurtà għandha tingħadda lil persuna jew lil persuni responsabbli bil-kompitu ta’ indirizzar tal-inċidenti, ta’ stabbiliment tal-eżistenza ta’ ksur u ta’ valutazzjoni tar-riskju.</w:t>
      </w:r>
    </w:p>
    <w:p w14:paraId="1332A307" w14:textId="77777777" w:rsidR="00E454CC" w:rsidRDefault="00390762" w:rsidP="00E454CC">
      <w:pPr>
        <w:pStyle w:val="ListParagraph"/>
        <w:numPr>
          <w:ilvl w:val="0"/>
          <w:numId w:val="35"/>
        </w:numPr>
        <w:spacing w:line="240" w:lineRule="auto"/>
        <w:ind w:left="714" w:hanging="357"/>
        <w:rPr>
          <w:rFonts w:ascii="Times New Roman" w:hAnsi="Times New Roman"/>
        </w:rPr>
      </w:pPr>
      <w:r>
        <w:rPr>
          <w:rFonts w:ascii="Times New Roman" w:hAnsi="Times New Roman"/>
        </w:rPr>
        <w:t>Imbagħad għandu jiġi vvalutat ir-riskju għall-individwi minħabba ksur (probabbiltà ta’ ebda riskju, ta’ riskju jew ta’ riskju għoli), filwaqt li jiġu informati t-taqsimiet rilevanti tal-organizzazzjoni.</w:t>
      </w:r>
    </w:p>
    <w:p w14:paraId="7E4620C9" w14:textId="77777777" w:rsidR="00E454CC" w:rsidRDefault="00390762" w:rsidP="00E454CC">
      <w:pPr>
        <w:pStyle w:val="ListParagraph"/>
        <w:numPr>
          <w:ilvl w:val="0"/>
          <w:numId w:val="35"/>
        </w:numPr>
        <w:spacing w:line="240" w:lineRule="auto"/>
        <w:ind w:left="714" w:hanging="357"/>
        <w:rPr>
          <w:rFonts w:ascii="Times New Roman" w:hAnsi="Times New Roman"/>
        </w:rPr>
      </w:pPr>
      <w:r>
        <w:rPr>
          <w:rFonts w:ascii="Times New Roman" w:hAnsi="Times New Roman"/>
        </w:rPr>
        <w:t>Għandhom isiru notifika lill-awtorità superviżorja u potenzjalment komunikazzjoni tal-ksur lill-individwi affettwati, jekk ikun hemm bżonn.</w:t>
      </w:r>
    </w:p>
    <w:p w14:paraId="00BCBF2F" w14:textId="6364AEBC" w:rsidR="00390762" w:rsidRDefault="00390762" w:rsidP="00E454CC">
      <w:pPr>
        <w:pStyle w:val="ListParagraph"/>
        <w:numPr>
          <w:ilvl w:val="0"/>
          <w:numId w:val="35"/>
        </w:numPr>
        <w:spacing w:line="240" w:lineRule="auto"/>
        <w:ind w:left="714" w:hanging="357"/>
        <w:rPr>
          <w:rFonts w:ascii="Times New Roman" w:hAnsi="Times New Roman"/>
        </w:rPr>
      </w:pPr>
      <w:r>
        <w:rPr>
          <w:rFonts w:ascii="Times New Roman" w:hAnsi="Times New Roman"/>
        </w:rPr>
        <w:t>Fl-istess ħin, il-kontrollur għandu jaġixxi biex jikkontjeni u jirkupra l-ksur.</w:t>
      </w:r>
    </w:p>
    <w:p w14:paraId="1F7AE648" w14:textId="6F8FF82E" w:rsidR="007F2C09" w:rsidRPr="00E454CC" w:rsidRDefault="007F2C09" w:rsidP="00E454CC">
      <w:pPr>
        <w:pStyle w:val="ListParagraph"/>
        <w:numPr>
          <w:ilvl w:val="0"/>
          <w:numId w:val="35"/>
        </w:numPr>
        <w:spacing w:line="240" w:lineRule="auto"/>
        <w:ind w:left="714" w:hanging="357"/>
        <w:rPr>
          <w:rFonts w:ascii="Times New Roman" w:hAnsi="Times New Roman"/>
        </w:rPr>
      </w:pPr>
      <w:r>
        <w:rPr>
          <w:rFonts w:ascii="Times New Roman" w:hAnsi="Times New Roman"/>
        </w:rPr>
        <w:t>Id-dokumentazzjoni tal-ksur għandha sseħħ matul l-iżvilupp tiegħu.</w:t>
      </w:r>
    </w:p>
    <w:p w14:paraId="69BC06DE" w14:textId="3764F97C" w:rsidR="0062055D" w:rsidRDefault="00C656F3" w:rsidP="00F724C5">
      <w:p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Għalhekk, għandu jkun ċar li hemm obbligu fuq il-kontrollur biex jaġixxi fuq kwalunkwe twissija inizjali u jistabbilixxi jekk fil-fatt seħħx ksur. Dan il-perjodu qasir jippermetti li ssir investigazzjoni, u biex il-kontrollur jiġbor evidenza u dettalji rilevanti oħra. Madankollu, ladarba l-kontrollur ikun stabbilixa bi grad raġonevoli ta’ ċertezza li seħħ ksur, jekk jiġu ssodisfati l-kundizzjonijiet fl-Artikolu 33(1), imbagħad irid jinnotifika lill-awtorità superviżorja mingħajr dewmien żejjed u, fejn fattibbli, mhux aktar tard minn 72 siegħa</w:t>
      </w:r>
      <w:r>
        <w:rPr>
          <w:rStyle w:val="FootnoteReference"/>
          <w:rFonts w:ascii="Times New Roman" w:hAnsi="Times New Roman"/>
        </w:rPr>
        <w:footnoteReference w:id="25"/>
      </w:r>
      <w:r>
        <w:rPr>
          <w:rFonts w:ascii="Times New Roman" w:hAnsi="Times New Roman"/>
        </w:rPr>
        <w:t>. Jekk kontrollur jonqos milli jaġixxi b’mod puntwali u jsir apparenti li seħħ ksur, dan jista’ jitqies bħala nuqqas ta’ notifika f’konformità mal-Artikolu 33.</w:t>
      </w:r>
    </w:p>
    <w:p w14:paraId="6D6059AC" w14:textId="28211B87" w:rsidR="0062055D" w:rsidRPr="00553B5E" w:rsidRDefault="0062055D" w:rsidP="00F724C5">
      <w:p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L-Artikolu 32 jagħmilha ċara li l-kontrollur u l-proċessur għandu jkollhom miżuri tekniċi u organizzazzjonali xierqa fis-seħħ biex jiżguraw livell xieraq ta’ sigurtà tad-</w:t>
      </w:r>
      <w:r w:rsidR="00BD591B" w:rsidRPr="00BD591B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personali: il-ħila ta’ detezzjoni, ta’ indirizzar, u ta’ rapportar ta’ ksur b’mod puntwali għandha titqies bħala elementi essenzjali ta’ dawn il-miżuri. </w:t>
      </w:r>
    </w:p>
    <w:p w14:paraId="08277D32" w14:textId="289F2768" w:rsidR="00901719" w:rsidRPr="00505C5F" w:rsidRDefault="00901719" w:rsidP="00901719">
      <w:pPr>
        <w:pStyle w:val="Heading3"/>
        <w:rPr>
          <w:rFonts w:ascii="Times New Roman" w:hAnsi="Times New Roman"/>
        </w:rPr>
      </w:pPr>
      <w:bookmarkStart w:id="17" w:name="_Toc504382233"/>
      <w:r>
        <w:rPr>
          <w:rFonts w:ascii="Times New Roman" w:hAnsi="Times New Roman"/>
        </w:rPr>
        <w:t>Kontrolluri konġunti</w:t>
      </w:r>
      <w:bookmarkEnd w:id="17"/>
    </w:p>
    <w:p w14:paraId="7E36546C" w14:textId="4AE51193" w:rsidR="00901719" w:rsidRPr="00505C5F" w:rsidRDefault="00553B5E" w:rsidP="00505C5F">
      <w:p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L-Artikolu 26 jikkonċerna l-kontrolluri konġunti u jispeċifika li l-kontrolluri konġunti għandhom jiddeterminaw ir-responsabbiltajiet rispettivi tagħhom għall-konformità mal-GDPR</w:t>
      </w:r>
      <w:r>
        <w:rPr>
          <w:rStyle w:val="FootnoteReference"/>
          <w:rFonts w:ascii="Times New Roman" w:hAnsi="Times New Roman"/>
        </w:rPr>
        <w:footnoteReference w:id="26"/>
      </w:r>
      <w:r>
        <w:rPr>
          <w:rFonts w:ascii="Times New Roman" w:hAnsi="Times New Roman"/>
        </w:rPr>
        <w:t xml:space="preserve">. Dan se jinkludi d-determinazzjoni ta’ liema parti ser ikollha r-responsabbiltà biex tikkonforma mal-obbligi skont l-Artikoli 33 u 34. Id-WP29 jirrakkomanda li l-arranġamenti kuntrattwali bejn il-kontrolluri konġunti jinkludu dispożizzjonijiet li jiddeterminaw liema kontrollur se jieħu r-rwol ta’ mexxej jew ikun responsabbli għall-konformità mal-obbligi ta’ notifika ta’ ksur tal-GDPR. </w:t>
      </w:r>
    </w:p>
    <w:p w14:paraId="1CD6FACE" w14:textId="1425021A" w:rsidR="00840752" w:rsidRPr="00505C5F" w:rsidRDefault="00840752" w:rsidP="00842B05">
      <w:pPr>
        <w:pStyle w:val="Heading3"/>
        <w:rPr>
          <w:rFonts w:ascii="Times New Roman" w:hAnsi="Times New Roman"/>
        </w:rPr>
      </w:pPr>
      <w:bookmarkStart w:id="18" w:name="_Toc504382234"/>
      <w:r>
        <w:rPr>
          <w:rFonts w:ascii="Times New Roman" w:hAnsi="Times New Roman"/>
        </w:rPr>
        <w:t>Obbligi tal-proċessur</w:t>
      </w:r>
      <w:bookmarkEnd w:id="18"/>
    </w:p>
    <w:p w14:paraId="589405F5" w14:textId="75B0D6F0" w:rsidR="007C5166" w:rsidRDefault="00072DA5" w:rsidP="00086A2B">
      <w:p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Il-kontrollur iżomm ir-responsabbiltà ġenerali għall-protezzjoni ta’ </w:t>
      </w:r>
      <w:r w:rsidR="00BD591B" w:rsidRPr="00BD591B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personali, iżda l-proċessur għandu rwol importanti x’jaqdi biex il-kontrollur ikun jista’ jikkonforma mal-obbligi tiegħu; u dan jinkludi notifika ta’ ksur. Tabilħaqq, l-Artikolu 28(3) jispeċifika li l-proċessar minn proċessur għandu jkun regolat b’kuntratt jew b’att legali ieħor. L-Artikolu 28(3)(f) jiddikjara li l-kuntratt jew att legali ieħor għandu jistipula li l-proċessur “jassisti lill-kontrollur sabiex jassigura l-konformità mal-obbligi skont l-Artikoli 32 sa 36 waqt li titqies in-natura tal-ipproċessar u l-informazzjoni disponibbli lill-proċessur”. </w:t>
      </w:r>
    </w:p>
    <w:p w14:paraId="1A435FEC" w14:textId="582B39ED" w:rsidR="003752B1" w:rsidRPr="00072DA5" w:rsidRDefault="00840752" w:rsidP="00086A2B">
      <w:p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L-Artikolu 33(2) jagħmilha ċara li jekk proċessur jintuża minn kontrollur u l-proċessur isir konxju ta’ ksur tad-</w:t>
      </w:r>
      <w:r w:rsidR="00BD591B" w:rsidRPr="00BD591B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personali li jkun qed jipproċessa f’isem il-kontrollur, dan irid jinnotifika lill-kontrollur “mingħajr dewmien żejjed”. Ta’ min jinnota li l-proċessur ma għandux bżonn li l-ewwel jivvaluta l-probabbiltà li jiġġarrab riskju minn ksur qabel ma jinnotifika lill-kontrollur; hu l-kontrollur li jrid </w:t>
      </w:r>
      <w:r>
        <w:rPr>
          <w:rFonts w:ascii="Times New Roman" w:hAnsi="Times New Roman"/>
        </w:rPr>
        <w:lastRenderedPageBreak/>
        <w:t xml:space="preserve">jagħmel din il-valutazzjoni malli jsir konxju tal-ksur. Il-proċessur irid biss jistabbilixxi jekk seħħx ksur u mbagħad jinnotifika lill-kontrollur. Il-kontrollur juża l-proċessur biex jilħaq l-għanijiet tiegħu; għalhekk, fil-prinċipju, il-kontrollur għandu jitqies bħala “konxju” ladarba l-proċessur jinformah dwar il-ksur. L-obbligu tal-proċessur li jinnotifika lill-kontrollur tiegħu jippermetti lill-kontrollur jindirizza l-ksur u jiddetermina jekk huwiex meħtieġ li jinnotifika lill-awtorità superviżorja f’konformità mal-Artikolu 33(1) u lill-individwi affettwati f’konformità mal-Artikolu 34(1). Il-kontrollur jista’ wkoll ikun jixtieq jinvestiga l-ksur, peress li l-proċessur jaf ma jkunx f’pożizzjoni li jkun jaf il-fatti rilevanti kollha relatati mal-kwistjoni, pereżempju, jekk ikun għad hemm kopja jew kopja ta’ riżerva ta’ </w:t>
      </w:r>
      <w:r w:rsidR="00BD591B" w:rsidRPr="00BD591B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personali meqruda jew mitlufa mill-proċessur għand il-kontrollur. Dan jista’ jaffettwa jekk il-kontrollur imbagħad ikollux bżonn jinnotifika. </w:t>
      </w:r>
    </w:p>
    <w:p w14:paraId="76B0D259" w14:textId="023C9989" w:rsidR="008B22B3" w:rsidRDefault="008D1044" w:rsidP="00086A2B">
      <w:p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Il-GDPR ma jistipulax terminu perentorju espliċitu li sa dan il-proċessur irid iwissi lill-kontrollur, ħlief li jrid jagħmel dan “mingħajr dewmien żejjed”. Għaldaqstant, id-WP29 jirrakkomanda li l-proċessur jinnotifika minnufih lill-kontrollur, b’aktar informazzjoni dwar il-ksur ipprovduta f’fażijiet aktar ma jsiru disponibbli d-dettalji. Dan hu importanti biex il-kontrollur ikun megħjun jissodisfa r-rekwiżit ta’ notifika lill-awtorità superviżorja fi żmien 72 siegħa. </w:t>
      </w:r>
    </w:p>
    <w:p w14:paraId="72EC8EEB" w14:textId="2A849A7A" w:rsidR="00FB07C9" w:rsidRDefault="00FB07C9" w:rsidP="00086A2B">
      <w:p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Kif spjegat aktar ’il fuq, il-kuntratt bejn il-kontrollur u l-proċessur għandu jispeċifika kif ir-rekwiżiti espressi fl-Artikolu 33(2) għandhom jiġu ssodisfati minbarra dispożizzjonijiet oħra fil-GDPR. Dan jista’ jinkludi rekwiżiti għal notifika kmieni mill-proċessur li min-naħa tagħhom jappoġġjaw l-obbligi tal-kontrollur li jirrapporta lill-awtorità superviżorja fi żmien 72 siegħa.   </w:t>
      </w:r>
    </w:p>
    <w:p w14:paraId="1E1EC671" w14:textId="78829E5C" w:rsidR="003F48EF" w:rsidRDefault="003F48EF" w:rsidP="00086A2B">
      <w:p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Meta l-proċessur jipprovdi servizzi lil diversi kontrolluri li lkoll ikunu affettwati mill-istess inċident, il-proċessur ikollu jirrapporta d-dettalji tal-inċident lil kull kontrollur.</w:t>
      </w:r>
    </w:p>
    <w:p w14:paraId="233FFBE4" w14:textId="0DCF9B45" w:rsidR="00861EDC" w:rsidRDefault="00CE4724" w:rsidP="00086A2B">
      <w:p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Proċessur jista’ jagħmel notifika f’isem il-kontrollur, jekk il-kontrollur ikun ta lill-proċessur l-awtorizzazzjoni xierqa u dan ikun parti mill-arranġamenti kuntrattwali bejn il-kontrollur u l-proċessur. Din in-notifika trid issir f’konformità mal-Artikoli 33 u 34. Madankollu, ta’ min jgħid li r-responsabbiltà legali tan-notifika tibqa’ tal-kontrollur.</w:t>
      </w:r>
    </w:p>
    <w:p w14:paraId="5411C16F" w14:textId="77777777" w:rsidR="00E5244A" w:rsidRDefault="00CE5EC7" w:rsidP="00500B65">
      <w:pPr>
        <w:pStyle w:val="Heading2"/>
        <w:rPr>
          <w:u w:val="none"/>
        </w:rPr>
      </w:pPr>
      <w:bookmarkStart w:id="19" w:name="_Toc504382235"/>
      <w:r>
        <w:rPr>
          <w:u w:val="none"/>
        </w:rPr>
        <w:t>Forniment tal-informazzjoni lill-awtorità superviżorja</w:t>
      </w:r>
      <w:bookmarkEnd w:id="19"/>
    </w:p>
    <w:p w14:paraId="48368EF9" w14:textId="0299508A" w:rsidR="00CE5EC7" w:rsidRPr="00CE5EC7" w:rsidRDefault="00CE5EC7" w:rsidP="00CE5EC7">
      <w:pPr>
        <w:pStyle w:val="Heading3"/>
      </w:pPr>
      <w:bookmarkStart w:id="20" w:name="_Toc504382236"/>
      <w:r>
        <w:t>Informazzjoni li għandha tiġi pprovduta</w:t>
      </w:r>
      <w:bookmarkEnd w:id="20"/>
    </w:p>
    <w:p w14:paraId="7017C384" w14:textId="3C6CAE9A" w:rsidR="00086A2B" w:rsidRPr="00847C6E" w:rsidRDefault="00086A2B" w:rsidP="00086A2B">
      <w:p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Meta kontrollur jinnotifika ksur lill-awtorità superviżorja, l-Artikolu 33(3) jiddikjara li, tal-anqas, in-notifika għandha:</w:t>
      </w:r>
    </w:p>
    <w:p w14:paraId="7AD13BAB" w14:textId="4728745B" w:rsidR="00117863" w:rsidRDefault="00117863" w:rsidP="003752B1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“(a) tiddeskrivi n-natura tal-ksur ta’ </w:t>
      </w:r>
      <w:r w:rsidR="00BD591B" w:rsidRPr="00BD591B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personali inklużi, fejn hu possibbli, il-kategoriji u n-numru approssimattiv tas-suġġetti tad-</w:t>
      </w:r>
      <w:r w:rsidR="00BD591B" w:rsidRPr="00BD591B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kkonċernati u l-kategoriji u n-numru approssimattiv ta’ reġistrazzjonijiet ikkonċernati ta’ </w:t>
      </w:r>
      <w:r w:rsidR="00BD591B" w:rsidRPr="00BD591B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personali; </w:t>
      </w:r>
    </w:p>
    <w:p w14:paraId="47EB06C8" w14:textId="2BAE7CF1" w:rsidR="00117863" w:rsidRDefault="00117863" w:rsidP="003752B1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(b) tagħti l-isem u d-dettalji tal-kuntatt tal-uffiċjal tal-protezzjoni tad-</w:t>
      </w:r>
      <w:r w:rsidR="00BD591B" w:rsidRPr="00BD591B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jew ta’ punt ta' kuntatt ieħor minn fejn tista’ tinkiseb aktar informazzjoni; </w:t>
      </w:r>
    </w:p>
    <w:p w14:paraId="1E7003A5" w14:textId="60DEB339" w:rsidR="00117863" w:rsidRDefault="00117863" w:rsidP="00412356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(c) tiddeskrivi l-konsegwenzi mistennija tal-ksur ta’ </w:t>
      </w:r>
      <w:r w:rsidR="00BD591B" w:rsidRPr="00BD591B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personali; </w:t>
      </w:r>
    </w:p>
    <w:p w14:paraId="4A489460" w14:textId="2960F640" w:rsidR="00117863" w:rsidRDefault="00117863" w:rsidP="00412356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spacing w:line="240" w:lineRule="auto"/>
        <w:jc w:val="both"/>
      </w:pPr>
      <w:r>
        <w:rPr>
          <w:rFonts w:ascii="Times New Roman" w:hAnsi="Times New Roman"/>
        </w:rPr>
        <w:t xml:space="preserve">(d) tiddeskrivi l-miżuri mittieħda jew proposti li jridu jittieħdu mill-kontrollur sabiex jindirizza l-ksur ta’ </w:t>
      </w:r>
      <w:r w:rsidR="00BD591B" w:rsidRPr="00BD591B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personali, inkluż, fejn xieraq, miżuri biex itaffi l-effetti ħżiena possibbli.”</w:t>
      </w:r>
    </w:p>
    <w:p w14:paraId="69EF51F5" w14:textId="3027710C" w:rsidR="002F2393" w:rsidRPr="007A7708" w:rsidRDefault="002F2393" w:rsidP="007A7708">
      <w:p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Il-GDPR ma jiddefinixxix il-kategoriji ta’ suġġetti tad-</w:t>
      </w:r>
      <w:r w:rsidR="00BD591B" w:rsidRPr="00BD591B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jew tar-rekords ta’ </w:t>
      </w:r>
      <w:r w:rsidR="00BD591B" w:rsidRPr="00BD591B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personali. Madankollu, id-WP29 jissuġġerixxi kategoriji ta’ suġġetti ta’ </w:t>
      </w:r>
      <w:r w:rsidR="00BD591B" w:rsidRPr="00BD591B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biex jirreferi għad-diversi tipi ta’ individwi li d-</w:t>
      </w:r>
      <w:r w:rsidR="00BD591B" w:rsidRPr="00BD591B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personali tagħhom tkun ġiet affettwata minn ksur: skont id-deskritturi użati, dawn jistgħu jinkludu, fost l-oħrajn, tfal u gruppi vulnerabbli oħra, nies b’diżabilitajiet, impjegati jew klijenti. B’mod simili, il-kategoriji ta’ rekords ta’ </w:t>
      </w:r>
      <w:r w:rsidR="00BD591B" w:rsidRPr="00BD591B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personali jistgħu jirreferu għat-tipi differenti ta’ rekords li l-kontrollur jista’ jipproċessa, bħal </w:t>
      </w:r>
      <w:r w:rsidR="00BD591B" w:rsidRPr="00BD591B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dwar is-saħħa, rekords dwar l-edukazzjoni, </w:t>
      </w:r>
      <w:r>
        <w:rPr>
          <w:rFonts w:ascii="Times New Roman" w:hAnsi="Times New Roman"/>
        </w:rPr>
        <w:lastRenderedPageBreak/>
        <w:t>informazzjoni dwar il-bżonnijiet soċjali, dettalji finanzjarji, numri tal-kontijiet bankarji, numri tal-passaporti u l-bqija.</w:t>
      </w:r>
    </w:p>
    <w:p w14:paraId="7EA58A91" w14:textId="0D4194AB" w:rsidR="0051405B" w:rsidRPr="007A7708" w:rsidRDefault="0051405B" w:rsidP="007A7708">
      <w:p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Il-Premessa 85 tagħmilha ċara li wieħed mill-iskopijiet tan-notifika hu l-limitazzjoni tal-ħsara lill-individwi. Għalhekk, jekk it-tipi ta’ suġġetti ta’ </w:t>
      </w:r>
      <w:r w:rsidR="00BD591B" w:rsidRPr="00BD591B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jew it-tipi ta’ </w:t>
      </w:r>
      <w:r w:rsidR="00BD591B" w:rsidRPr="00BD591B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personali jindikaw riskju ta’ ħsara partikolari li sseħħ minħabba ksur (eż. serq ta’ identità, frodi, telf finanzjarju, theddida għas-segretezza professjonali), importanti li n-notifika tindika dawn il-kategoriji. B’dan il-mod, din hi marbuta mar-rekwiżit ta’ deskrizzjoni tal-konsegwenzi probabbli tal-ksur.</w:t>
      </w:r>
    </w:p>
    <w:p w14:paraId="159FCCAD" w14:textId="1601911D" w:rsidR="00C80A4E" w:rsidRDefault="00C80A4E" w:rsidP="00E5244A">
      <w:p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Fejn ma jkunx hemm informazzjoni preċiża disponibbli (eż. numru eżatt ta’ suġġetti ta’ </w:t>
      </w:r>
      <w:r w:rsidR="00BD591B" w:rsidRPr="00BD591B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affettwati), din ma għandhiex tkun ostaklu għal notifika ta’ ksur fil-ħin. Il-GDPR jippermetti li jsiru approssimazzjonijiet fin-numru ta’ individwi affettwati u fin-numru ta’ rekords ta’ </w:t>
      </w:r>
      <w:r w:rsidR="00BD591B" w:rsidRPr="00BD591B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personali kkonċernati. L-enfasi għandha tinxteħet fuq l-indirizzar tal-effetti avversi tal-ksur minflok fuq il-forniment ta’ ċifri preċiżi. B’hekk, meta jkun sar ċar li seħħ ksur, iżda ma tkunx għadha magħrufa l-firxa ta’ dan, notifika f’fażijiet (ara aktar ’il quddiem) hi mod sikur kif jiġu ssodisfati l-obbligi ta’ notifika. </w:t>
      </w:r>
    </w:p>
    <w:p w14:paraId="18562DAF" w14:textId="56316052" w:rsidR="00E5244A" w:rsidRPr="00847C6E" w:rsidRDefault="00E5244A" w:rsidP="00E5244A">
      <w:p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L-Artikolu 33(3) jiddikjara li l-kontrollur “[għandu] mill-inqas” jipprovdi din l-informazzjoni b’notifika, biex kontrollur ikun jista’, jekk ikollu bżonn, jagħżel li jipprovdi aktar dettalji. Tipi differenti ta’ ksur (tal-kunfidenzjalità, tal-integrità jew tad-disponibbiltà) jistgħu jkunu jeħtieġu li tiġi pprovduta aktar informazzjoni biex jiġu spjegati b’mod sħiħ iċ-ċirkustanzi ta’ kull każ.</w:t>
      </w:r>
    </w:p>
    <w:p w14:paraId="438737B5" w14:textId="77777777" w:rsidR="00117863" w:rsidRPr="00847C6E" w:rsidRDefault="00117863" w:rsidP="00B7727B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spacing w:line="24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Eżempju</w:t>
      </w:r>
    </w:p>
    <w:p w14:paraId="357104DA" w14:textId="16377ACD" w:rsidR="00117863" w:rsidRPr="00847C6E" w:rsidRDefault="00687DB9" w:rsidP="00B7727B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Bħala parti min-notifika tiegħu lill-awtorità superviżorja, kontrollur jaf isibha utli li jsemmi l-proċessur tiegħu jekk dan ikun il-kawża ewlenija ta’ ksur, b’mod partikolari jekk dan ikun wassal għal inċident li affettwa r-rekords ta’ </w:t>
      </w:r>
      <w:r w:rsidR="00BD591B" w:rsidRPr="00BD591B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personali ta’ ħafna kontrolluri oħra li jużaw l-istess proċessur.</w:t>
      </w:r>
    </w:p>
    <w:p w14:paraId="402BB5C8" w14:textId="77777777" w:rsidR="00E5244A" w:rsidRDefault="00E5244A" w:rsidP="00086A2B">
      <w:p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Fi kwalunkwe każ, l-awtorità superviżorja tista’ titlob aktar dettalji bħala parti mill-investigazzjoni tagħha dwar ksur.</w:t>
      </w:r>
    </w:p>
    <w:p w14:paraId="67E98EEC" w14:textId="77777777" w:rsidR="00E5244A" w:rsidRPr="00500B65" w:rsidRDefault="00CE5EC7" w:rsidP="00CE5EC7">
      <w:pPr>
        <w:pStyle w:val="Heading3"/>
      </w:pPr>
      <w:bookmarkStart w:id="21" w:name="_Toc504382237"/>
      <w:r>
        <w:t>Notifika f’fażijiet</w:t>
      </w:r>
      <w:bookmarkEnd w:id="21"/>
    </w:p>
    <w:p w14:paraId="061CE8B4" w14:textId="29C8931F" w:rsidR="00086A2B" w:rsidRPr="00847C6E" w:rsidRDefault="00086A2B" w:rsidP="00086A2B">
      <w:p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Skont in-natura ta’ ksur, investigazzjoni ulterjuri mill-kontrollur tista’ tkun meħtieġa biex jiġu stabbiliti l-fatti rilevanti kollha relatati mal-inċident. Għaldaqstant, l-Artikolu 33(4) jiddikjara:</w:t>
      </w:r>
    </w:p>
    <w:p w14:paraId="14D8D834" w14:textId="77777777" w:rsidR="00117863" w:rsidRPr="00920E62" w:rsidRDefault="00117863" w:rsidP="00B7727B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“Fejn, u sa fejn mhuwiex possibbli li tiġi pprovduta l-informazzjoni fl-istess ħin, l-informazzjoni tista’ tiġi pprovduta f'fażijiet mingħajr dewmien bla bżonn.”</w:t>
      </w:r>
    </w:p>
    <w:p w14:paraId="57DED449" w14:textId="5799AF09" w:rsidR="00E5244A" w:rsidRPr="00847C6E" w:rsidRDefault="00E5244A" w:rsidP="00E5244A">
      <w:p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Dan ifisser li l-GDPR jagħraf li l-kontrolluri mhux dejjem ser ikollhom l-informazzjoni neċessarja kollha rigward ksur fi żmien 72 siegħa minn meta jsiru jafu bih, peress li d-dettalji sħaħ u komprensivi dwar l-inċidenti jaf mhux dejjem ikunu disponibbli f’dan il-perjodu inizjali. B’hekk, jippermetti li ssir notifika f’fażijiet. Hu aktar probabbli li dan ser ikun il-każ għal ksur aktar kumpless, bħal xi tipi ta’ inċidenti taċ-ċibersigurtà li fihom, pereżempju, investigazzjoni forensika approfondita tista’ tkun neċessarja biex jiġu stabbiliti bis-sħiħ in-natura tal-ksur u kemm ġiet kompromessa d-</w:t>
      </w:r>
      <w:r w:rsidR="00BD591B" w:rsidRPr="00BD591B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personali. Konsegwentement, f’ħafna każijiet il-kontrollur ser ikollu jinvestiga aktar u jagħti segwitu b’informazzjoni addizzjonali f’mument aktar tard. Dan hu permissibbli, dment li l-kontrollur jipprovdi raġunijiet għad-dewmien, f’konformità mal-Artikolu 33(1). Id-WP29 jirrakkomanda li meta l-kontrollur l-ewwel jinnotifika lill-awtorità superviżorja, il-kontrollur għandu jinforma wkoll lill-awtorità superviżorja jekk il-kontrollur ma jkunx għad għandu l-informazzjoni meħtieġa kollha u jipprovdi aktar dettalji aktar tard. L-awtorità superviżorja għandha taqbel dwar kif u meta għandha tiġi pprovduta informazzjoni addizzjonali. Dan ma jipprevjenix lill-kontrollur milli jipprovdi aktar informazzjoni fi kwalunkwe stadju ieħor, jekk isir jaf b’dettalji rilevanti addizzjonali dwar il-ksur li jridu jiġu pprovduti lill-awtorità superviżorja.</w:t>
      </w:r>
    </w:p>
    <w:p w14:paraId="1A82D64E" w14:textId="5BC55987" w:rsidR="00E5244A" w:rsidRPr="00847C6E" w:rsidRDefault="00E5244A" w:rsidP="00E5244A">
      <w:p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L-enfasi tar-rekwiżit ta’ notifika hu li jħeġġeġ lill-kontrolluri jaġixxu minnufih fuq ksur, jikkontjenuh u, jekk possibbli, jirkupraw id-</w:t>
      </w:r>
      <w:r w:rsidR="00BD591B" w:rsidRPr="00BD591B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personali kompromessa, u jfittxu pariri rilevanti mingħand l-awtorità superviżorja. In-notifika lill-awtorità superviżorja fi ħdan l-ewwel 72 siegħa tippermetti li l-kontrollur jiżgura li d-deċiżjonijiet dwar in-notifika jew in-nuqqas ta’ notifika lill-individwi jkunu korretti.</w:t>
      </w:r>
    </w:p>
    <w:p w14:paraId="28642363" w14:textId="325D0F57" w:rsidR="00E5244A" w:rsidRPr="00847C6E" w:rsidRDefault="00E5244A" w:rsidP="00E5244A">
      <w:p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Madankollu, l-iskop tan-notifika tal-awtorità superviżorja mhuwiex biss biex tinkiseb gwida dwar jekk jiġux notifikati l-individwi affettwati. F’xi każijiet ikun ovvju li, minħabba n-natura tal-ksur u s-severità tar-riskju, il-kontrollur ikollu bżonn jinnotifika lill-individwi affettwati mingħajr dewmien. Pereżempju, jekk ikun hemm theddida immedjata ta’ serq tal-identità, jew jekk kategoriji speċjali ta’ </w:t>
      </w:r>
      <w:r w:rsidR="00BD591B" w:rsidRPr="00BD591B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personali</w:t>
      </w:r>
      <w:r>
        <w:rPr>
          <w:rStyle w:val="FootnoteReference"/>
          <w:rFonts w:ascii="Times New Roman" w:hAnsi="Times New Roman"/>
        </w:rPr>
        <w:footnoteReference w:id="27"/>
      </w:r>
      <w:r>
        <w:rPr>
          <w:rFonts w:ascii="Times New Roman" w:hAnsi="Times New Roman"/>
        </w:rPr>
        <w:t xml:space="preserve"> jiġu ddivulgati onlajn, il-kontrollur għandu jaġixxi mingħajr dewmien żejjed biex jikkontjeni l-ksur u jikkomunikah lill-individwi kkonċernati (ara t-taqsima III). F’ċirkustanzi eċċezzjonali, dan jista’ jseħħ saħansitra qabel in-notifika tal-awtorità superviżorja. B’mod aktar ġenerali, in-notifika tal-awtorità superviżorja ma tistax isservi bħala ġustifikazzjoni għal nuqqas ta’ komunikazzjoni tal-ksur lis-suġġett tad-</w:t>
      </w:r>
      <w:r w:rsidR="00BD591B" w:rsidRPr="00BD591B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fejn tkun meħtieġa. </w:t>
      </w:r>
    </w:p>
    <w:p w14:paraId="41A4F756" w14:textId="4E43567E" w:rsidR="004D443E" w:rsidRDefault="00E5244A" w:rsidP="003E2A0A">
      <w:p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Għandu jkun ċar ukoll li wara li ssir notifika inizjali, kontrollur jista’ jaġġorna lill-awtorità superviżorja jekk investigazzjoni ta’ segwitu tiskopri evidenza li l-inċident tas-sigurtà kien ġie kontenut u li fil-fatt ma seħħ ebda ksur. Din l-informazzjoni mbagħad tista’ tiżdied mal-informazzjoni diġà mogħtija lill-awtorità superviżorja u l-inċident jiġi reġistrat kif xieraq bħala li ma jinvolvix ksur. Ma hemm ebda penali għar-rapportar ta’ inċident li fl-aħħar mill-aħħar jinstab li ma kienx ksur. </w:t>
      </w:r>
    </w:p>
    <w:p w14:paraId="21BFDF5E" w14:textId="2031E831" w:rsidR="00117863" w:rsidRPr="00117863" w:rsidRDefault="00117863" w:rsidP="00117863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spacing w:line="24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Eżempju</w:t>
      </w:r>
    </w:p>
    <w:p w14:paraId="517C4DF2" w14:textId="37B20F3F" w:rsidR="00117863" w:rsidRPr="00920E62" w:rsidRDefault="00117863" w:rsidP="00B7727B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Kontrollur jinnotifika lill-awtorità superviżorja fi żmien 72 siegħa mid-detezzjoni ta’ ksur li hu tilef USB key li fiha kopja tad-</w:t>
      </w:r>
      <w:r w:rsidR="00BD591B" w:rsidRPr="00BD591B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personali ta’ wħud mill-klijenti tiegħu. Il-USB key aktar tard tinstab arkivjata ħażin fi ħdan il-bini tal-kontrollur u tiġi rkuprata. Il-kontrollur jaġġorna lill-awtorità superviżorja u jitlob l-emendar tan-notifika.</w:t>
      </w:r>
    </w:p>
    <w:p w14:paraId="196C8F39" w14:textId="1ABBC2A8" w:rsidR="004D443E" w:rsidRPr="008A579C" w:rsidRDefault="00E5244A" w:rsidP="003E2A0A">
      <w:p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Ta’ min jinnota li approċċ imqassam f’fażijiet għan-notifika diġà hu l-każ skont l-obbligi eżistenti tad-Direttiva 2002/58/KE, ir-Regoalment 611/2013 u inċidenti oħra awtorapportati.</w:t>
      </w:r>
    </w:p>
    <w:p w14:paraId="34E58F17" w14:textId="2D371F33" w:rsidR="008A579C" w:rsidRPr="00706D8E" w:rsidRDefault="00020C01" w:rsidP="00706D8E">
      <w:pPr>
        <w:pStyle w:val="Heading3"/>
        <w:spacing w:line="240" w:lineRule="auto"/>
        <w:rPr>
          <w:rFonts w:ascii="Times New Roman" w:hAnsi="Times New Roman"/>
        </w:rPr>
      </w:pPr>
      <w:bookmarkStart w:id="22" w:name="_Toc504382238"/>
      <w:r>
        <w:rPr>
          <w:rFonts w:ascii="Times New Roman" w:hAnsi="Times New Roman"/>
        </w:rPr>
        <w:t>Notifiki mdewmin</w:t>
      </w:r>
      <w:bookmarkEnd w:id="22"/>
    </w:p>
    <w:p w14:paraId="6981ACF4" w14:textId="085A03F5" w:rsidR="00854F78" w:rsidRDefault="000C1CDE" w:rsidP="00706D8E">
      <w:p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L-Artikolu 33(1) jagħmliha ċara li meta n-notifika lill-awtorità superviżorja ma ssirx fi żmien 72 siegħa, din għandha tkun akkumpanjata minn raġunijiet għad-dewmien. Dan, flimkien mal-kunċett ta’ notifika f’fażijiet, jagħraf li kontrollur jaf mhux dejjem ikun jista’ jinnotifika ksur fi ħdan dak il-perjodu ta’ żmien, u li notifika mdewma tista’ tkun permessibbli.</w:t>
      </w:r>
    </w:p>
    <w:p w14:paraId="0E4A588A" w14:textId="2229D9BA" w:rsidR="00706D8E" w:rsidRDefault="00854F78" w:rsidP="002A428C">
      <w:p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Xenarju bħal dan jista’ jseħħ meta, pereżempju, kontrollur jesperjenza ksur tal-kunfidenzjalità multiplu u simili tul perjodu qasir ta’ żmien, li jaffettwa numri kbar ta’ suġġetti tad-</w:t>
      </w:r>
      <w:r w:rsidR="00BD591B" w:rsidRPr="00BD591B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bl-istess mod. Kontrollur jista’ jsir konxju ta’ ksur u, filwaqt li jibda l-investigazzjoni tiegħu, u qabel in-notifika, jidentifika ksur simili ulterjuri, li jkollu kawżi differenti. Skont iċ-ċirkustanzi, jista’ jkun hemm bżonn ta’ ċerti żmien biex il-kontrollur jistabbilixxi l-firxa tal-ksur u, minflok ma jinnotifika kull ksur b’mod indvidwali, il-kontrollur minflok jorganizza notifika sinifikattiva li tirrappreżenta ksur multiplu simili ħafna, b’kawżi differenti possibbli. Dan jista’ jwassal biex in-notifika lill-awtorità superviżorja tiġi mdewma b'aktar minn 72 siegħa wara li l-kontrollur isir konxju għall-ewwel darba dwar dan il-ksur.</w:t>
      </w:r>
    </w:p>
    <w:p w14:paraId="6EE206D0" w14:textId="5D783DD3" w:rsidR="00D86258" w:rsidRDefault="00957410" w:rsidP="00706D8E">
      <w:p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Fil-verità, kull ksur individwali hu inċident rapportabbli. Madankollu, biex jiġi evitat piż eċċessiv, il-kontrollur jista’ jitħalla jissottometti notifika “raggruppata” li tirrappreżenta dan il-ksur multiplu </w:t>
      </w:r>
      <w:r>
        <w:rPr>
          <w:rFonts w:ascii="Times New Roman" w:hAnsi="Times New Roman"/>
        </w:rPr>
        <w:lastRenderedPageBreak/>
        <w:t xml:space="preserve">kollu, dment li dan ikun jikkonċerna l-istess tip ta’ </w:t>
      </w:r>
      <w:r w:rsidR="00BD591B" w:rsidRPr="00BD591B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personali miksura bl-istess mod, tul perjodu relattivament qasir ta’ żmien. Jekk seħħet sensiela ta’ ksur li tikkonċerna tipi differenti ta’ </w:t>
      </w:r>
      <w:r w:rsidR="00BD591B" w:rsidRPr="00BD591B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personali, miksura b’modi differenti, in-notifika għandha tipproċedi bħas-soltu, b’kull ksur li jiġi rrapportat f’konformità mal-Artikolu 33. </w:t>
      </w:r>
    </w:p>
    <w:p w14:paraId="47B80A00" w14:textId="702C5A70" w:rsidR="00706D8E" w:rsidRDefault="00A0450A" w:rsidP="00706D8E">
      <w:p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Filwaqt li l-GDPR jippermetti li jsiru notifiki mdewma sa ċertu punt, dawn ma għandhomx jitqiesu bħala affarijiet li jsiru b’mod regolari. Ta’ min jgħid li n-notifiki raggruppati jistgħu jsiru wkoll għal ksur multiplu simili rrapportat fi żmien 72 siegħa.</w:t>
      </w:r>
    </w:p>
    <w:p w14:paraId="40D10BD9" w14:textId="3D6BD133" w:rsidR="00CB03BC" w:rsidRDefault="00CB03BC" w:rsidP="00500B65">
      <w:pPr>
        <w:pStyle w:val="Heading2"/>
        <w:rPr>
          <w:u w:val="none"/>
        </w:rPr>
      </w:pPr>
      <w:bookmarkStart w:id="23" w:name="_Toc504382239"/>
      <w:r>
        <w:rPr>
          <w:u w:val="none"/>
        </w:rPr>
        <w:t>Ksur transfruntier u ksur fi stabbilimenti mhux tal-UE</w:t>
      </w:r>
      <w:bookmarkEnd w:id="23"/>
      <w:r>
        <w:rPr>
          <w:u w:val="none"/>
        </w:rPr>
        <w:t xml:space="preserve"> </w:t>
      </w:r>
    </w:p>
    <w:p w14:paraId="4F6058E4" w14:textId="59F90E6B" w:rsidR="00DF1BD8" w:rsidRPr="00500B65" w:rsidRDefault="00CB03BC" w:rsidP="00CB03BC">
      <w:pPr>
        <w:pStyle w:val="Heading3"/>
      </w:pPr>
      <w:bookmarkStart w:id="24" w:name="_Toc504382240"/>
      <w:r>
        <w:t>Ksur transfruntier</w:t>
      </w:r>
      <w:bookmarkEnd w:id="24"/>
    </w:p>
    <w:p w14:paraId="3E3EF8EC" w14:textId="23919A66" w:rsidR="00DF1BD8" w:rsidRDefault="00741BD3" w:rsidP="00DF1BD8">
      <w:p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Meta jsir proċessar transfruntier</w:t>
      </w:r>
      <w:r>
        <w:rPr>
          <w:rStyle w:val="FootnoteReference"/>
          <w:rFonts w:ascii="Times New Roman" w:hAnsi="Times New Roman"/>
        </w:rPr>
        <w:footnoteReference w:id="28"/>
      </w:r>
      <w:r>
        <w:rPr>
          <w:rFonts w:ascii="Times New Roman" w:hAnsi="Times New Roman"/>
        </w:rPr>
        <w:t xml:space="preserve"> ta’ </w:t>
      </w:r>
      <w:r w:rsidR="00BD591B" w:rsidRPr="00BD591B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personali, ksur jista’ jaffettwa lis-suġġetti ta’ </w:t>
      </w:r>
      <w:r w:rsidR="00BD591B" w:rsidRPr="00BD591B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f’aktar minn Stat Membru wieħed. L-Artikolu 33(1) jagħmilha ċara li meta jseħħ ksur, il-kontrollur għandu jinnotifika lill-awtorità superviżorja kompetenti f’konformità mal-Artikolu 55 tal-GDPR</w:t>
      </w:r>
      <w:r>
        <w:rPr>
          <w:rStyle w:val="FootnoteReference"/>
          <w:rFonts w:ascii="Times New Roman" w:hAnsi="Times New Roman"/>
        </w:rPr>
        <w:footnoteReference w:id="29"/>
      </w:r>
      <w:r>
        <w:rPr>
          <w:rFonts w:ascii="Times New Roman" w:hAnsi="Times New Roman"/>
        </w:rPr>
        <w:t>. L-Artikolu 55(1) jiddikjara li:</w:t>
      </w:r>
    </w:p>
    <w:p w14:paraId="06A77F9B" w14:textId="702A551F" w:rsidR="00DF1BD8" w:rsidRDefault="00A51851" w:rsidP="00A51851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“Kull awtorità superviżorja għandha tkun kompetenti biex twettaq il-kompiti assenjati lilha u l-eżerċizzju tas-setgħat ikkonferiti lilha f’konformità ma’ dan ir-Regolament fit-territorju tal-Istat Membru tagħha stess.”</w:t>
      </w:r>
    </w:p>
    <w:p w14:paraId="7AB91E92" w14:textId="0936CED9" w:rsidR="00982C27" w:rsidRDefault="00982C27" w:rsidP="00DF1BD8">
      <w:p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Madankollu, l-Artikolu 56(1) jistipula:</w:t>
      </w:r>
    </w:p>
    <w:p w14:paraId="7465950B" w14:textId="538AC45A" w:rsidR="00982C27" w:rsidRDefault="00982C27" w:rsidP="00982C27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“Mingħajr preġudizzju għall-Artikolu 55, l-awtorità superviżorja tal-istabbiliment ewlieni jew tal-istabbiliment uniku tal-kontrollur jew il-proċessur għandha tkun kompetenti biex taġixxi bħala l-awtorità superviżorja ewlenija għall-ipproċessar transkonfinali li jsir minn dak il-kontrollur jew proċessur f’konformità mal-proċedura prevista fl-Artikolu 60.”</w:t>
      </w:r>
    </w:p>
    <w:p w14:paraId="1C8C1F01" w14:textId="63148C0D" w:rsidR="00982C27" w:rsidRDefault="00982C27" w:rsidP="00DF1BD8">
      <w:p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Barra minn hekk, l-Artikolu 56(6) jistipula:</w:t>
      </w:r>
    </w:p>
    <w:p w14:paraId="5094C731" w14:textId="76AA7A64" w:rsidR="00982C27" w:rsidRDefault="00982C27" w:rsidP="00982C27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“L-awtorità superviżorja ewlenija għandha tkun l-interlokutur uniku tal-kontrollur jew il-proċessur għall-ipproċessar transkonfinali li jsir minn dak il-kontrollur jew proċessur.”</w:t>
      </w:r>
    </w:p>
    <w:p w14:paraId="4C16F4A7" w14:textId="0DBC59E7" w:rsidR="007E2DA1" w:rsidRDefault="00DF1BD8" w:rsidP="00DF1BD8">
      <w:p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Dan ifisser li kull meta jseħħ ksur fil-kuntest ta’ proċessar transfruntier u tkun meħtieġa notifika, il-kontrollur ikollu bżonn jinnotifika lill-awtorità superviżorja prinċipali</w:t>
      </w:r>
      <w:r>
        <w:rPr>
          <w:rStyle w:val="FootnoteReference"/>
          <w:rFonts w:ascii="Times New Roman" w:hAnsi="Times New Roman"/>
        </w:rPr>
        <w:footnoteReference w:id="30"/>
      </w:r>
      <w:r>
        <w:rPr>
          <w:rFonts w:ascii="Times New Roman" w:hAnsi="Times New Roman"/>
        </w:rPr>
        <w:t>. Għaldaqstant, meta jabbozza l-pjan tiegħu ta’ rispons għal ksur, kontrollur irid jagħmel valutazzjoni dwar liema awtorità superviżorja hi l-awtorità superviżorja prinċipali li ser ikollu bżonn jinnotifika</w:t>
      </w:r>
      <w:r>
        <w:rPr>
          <w:rStyle w:val="FootnoteReference"/>
          <w:rFonts w:ascii="Times New Roman" w:hAnsi="Times New Roman"/>
        </w:rPr>
        <w:footnoteReference w:id="31"/>
      </w:r>
      <w:r>
        <w:rPr>
          <w:rFonts w:ascii="Times New Roman" w:hAnsi="Times New Roman"/>
        </w:rPr>
        <w:t>. Dan jippermetti lill-kontrollur biex iwieġeb minnufih għal ksur u jissodisfa l-obbligi tiegħu fir-rigward tal-Artikolu 33. Għandu jkun ċar li f’każ ta’ ksur li jinvolvi proċessar transfruntier, notifika trid issir lill-awtorità superviżorja prinċipali, li ma tkunx bilfors dik ta’ fejn jinsabu s-suġġetti tad-</w:t>
      </w:r>
      <w:r w:rsidR="00BD591B" w:rsidRPr="00BD591B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affettwati, jew tabilħaqq fejn seħħ il-ksur. Meta jinnotifika lill-awtorità prinċipali, il-kontrollur għandu jindika, fejn </w:t>
      </w:r>
      <w:r>
        <w:rPr>
          <w:rFonts w:ascii="Times New Roman" w:hAnsi="Times New Roman"/>
        </w:rPr>
        <w:lastRenderedPageBreak/>
        <w:t>xieraq, jekk il-ksur jinvolvix stabbilimenti li jinsabu fi Stati Membri oħra, u f’liema Stati Membri s-suġġetti tad-</w:t>
      </w:r>
      <w:r w:rsidR="00BD591B" w:rsidRPr="00BD591B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għandhom probabbiltà li jkunu affettwati mill-ksur. Jekk il-kontrollur ikollu xi dubju dwar l-identità tal-awtorità superviżorja prinċipali, tal-anqas għandu jinnotifika lill-awtorità superviżorja lokali fejn seħħ il-ksur. </w:t>
      </w:r>
    </w:p>
    <w:p w14:paraId="42AB10B0" w14:textId="694EE5BA" w:rsidR="00CB03BC" w:rsidRDefault="00CB03BC" w:rsidP="00CB03BC">
      <w:pPr>
        <w:pStyle w:val="Heading3"/>
      </w:pPr>
      <w:bookmarkStart w:id="25" w:name="_Toc504382241"/>
      <w:r>
        <w:t>Ksur fi stabbilimenti mhux tal-UE</w:t>
      </w:r>
      <w:bookmarkEnd w:id="25"/>
    </w:p>
    <w:p w14:paraId="31A41BD1" w14:textId="3F597453" w:rsidR="00CB03BC" w:rsidRPr="00CB03BC" w:rsidRDefault="00CB03BC" w:rsidP="00CB03BC">
      <w:p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L-Artikolu 3 jikkonċerna l-ambitu territorjali tal-GDPR, inkluż fejn japplika għall-proċessar ta’ </w:t>
      </w:r>
      <w:r w:rsidR="00BD591B" w:rsidRPr="00BD591B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personali minn kontrollur jew minn proċessur mhux stabbilit fl-UE. B’mod partikolari, l-Artikolu 3(2) jiddikjara</w:t>
      </w:r>
      <w:r>
        <w:rPr>
          <w:rFonts w:ascii="Times New Roman" w:hAnsi="Times New Roman"/>
          <w:vertAlign w:val="superscript"/>
        </w:rPr>
        <w:footnoteReference w:id="32"/>
      </w:r>
      <w:r>
        <w:rPr>
          <w:rFonts w:ascii="Times New Roman" w:hAnsi="Times New Roman"/>
        </w:rPr>
        <w:t>:</w:t>
      </w:r>
    </w:p>
    <w:p w14:paraId="4FC77E38" w14:textId="56C1A424" w:rsidR="00CB03BC" w:rsidRDefault="00CB03BC" w:rsidP="00CB03BC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“Dan ir-Regolament japplika għall-ipproċessar tad-</w:t>
      </w:r>
      <w:r w:rsidR="00BD591B" w:rsidRPr="00BD591B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personali ta’ suġġetti tad-</w:t>
      </w:r>
      <w:r w:rsidR="00BD591B" w:rsidRPr="00BD591B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li jinsabu fl-Unjoni minn kontrollur jew proċessur mhux stabbilit fl-Unjoni, meta l-attivitajiet ta’ pproċessar huma relatati ma’: </w:t>
      </w:r>
    </w:p>
    <w:p w14:paraId="075F4879" w14:textId="05434678" w:rsidR="00CB03BC" w:rsidRDefault="00CB03BC" w:rsidP="00CB03BC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(a) l-offerta ta’ prodotti jew servizzi, irrispettivament jekk ikunx meħtieġ ħlas mis-suġġett tad-</w:t>
      </w:r>
      <w:r w:rsidR="00BD591B" w:rsidRPr="00BD591B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>, għal tali suġġetti tad-</w:t>
      </w:r>
      <w:r w:rsidR="00BD591B" w:rsidRPr="00BD591B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fl-Unjoni; jew </w:t>
      </w:r>
    </w:p>
    <w:p w14:paraId="638D157E" w14:textId="30A4553C" w:rsidR="00CB03BC" w:rsidRDefault="00CB03BC" w:rsidP="00CB03BC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(b) il-monitoraġġ tal-imġiba tagħhom sakemm l-imġiba tagħhom isseħħ fl-Unjoni.”</w:t>
      </w:r>
    </w:p>
    <w:p w14:paraId="2D0F1288" w14:textId="6314D10A" w:rsidR="00CB03BC" w:rsidRPr="00CB03BC" w:rsidRDefault="00CB03BC" w:rsidP="00CB03BC">
      <w:p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L-Artikolu 3(3) hu rilevanti wkoll u jiddikjara</w:t>
      </w:r>
      <w:r>
        <w:rPr>
          <w:rFonts w:ascii="Times New Roman" w:hAnsi="Times New Roman"/>
          <w:vertAlign w:val="superscript"/>
        </w:rPr>
        <w:footnoteReference w:id="33"/>
      </w:r>
      <w:r>
        <w:rPr>
          <w:rFonts w:ascii="Times New Roman" w:hAnsi="Times New Roman"/>
        </w:rPr>
        <w:t>:</w:t>
      </w:r>
    </w:p>
    <w:p w14:paraId="50104157" w14:textId="0C49EF36" w:rsidR="00CB03BC" w:rsidRDefault="00CB03BC" w:rsidP="00CB03BC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“Dan ir-Regolament japplika għall-ipproċessar tad-</w:t>
      </w:r>
      <w:r w:rsidR="00BD591B" w:rsidRPr="00BD591B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personali minn kontrollur mhux stabbilit fl-Unjoni, iżda f’post fejn tapplika l-liġi ta’ Stat Membru permezz tal-liġi internazzjonali pubblika.”</w:t>
      </w:r>
    </w:p>
    <w:p w14:paraId="2A9C8D2F" w14:textId="0B782E66" w:rsidR="00CB03BC" w:rsidRPr="00CB03BC" w:rsidRDefault="006D6699" w:rsidP="00CB03BC">
      <w:p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Għaldaqstant, meta kontrollur mhux stabbilit fl-UE jkun soġġett għall-Artikolu 3(2) jew għall-Artikolu 3(3) u jesperjenza ksur, dan xorta jkun marbut bl-obbligi ta’ notifika skont l-Artikoli 33 u 34. L-Artikolu 27 jeħtieġ li kontrollur (u proċessur) jinnominaw rappreżentat fl-UE fejn japplika l-Artikolu 3(2). F’każijiet bħal dawn, id-WP29 jirrakkomanda li n-notifika għandha ssir lill-awtorità superviżorja fl-Istat Membru fejn hu stabbilit ir-rappreżentant tal-kontrollur fl-UE</w:t>
      </w:r>
      <w:r>
        <w:rPr>
          <w:rFonts w:ascii="Times New Roman" w:hAnsi="Times New Roman"/>
          <w:vertAlign w:val="superscript"/>
        </w:rPr>
        <w:footnoteReference w:id="34"/>
      </w:r>
      <w:r>
        <w:rPr>
          <w:rFonts w:ascii="Times New Roman" w:hAnsi="Times New Roman"/>
        </w:rPr>
        <w:t>.</w:t>
      </w:r>
      <w:r>
        <w:t xml:space="preserve"> </w:t>
      </w:r>
      <w:r>
        <w:rPr>
          <w:rFonts w:ascii="Times New Roman" w:hAnsi="Times New Roman"/>
        </w:rPr>
        <w:t>B’mod simili, fejn proċessur ikun soġġett għall-Artikolu 3(2), dan ser ikun marbut bl-obbligi fuq il-proċessuri, ta’ rilevanza partikolari hawnhekk, id-dmir li jinnotifika ksur lill-kontrollur skont l-Artikolu 33(2).</w:t>
      </w:r>
    </w:p>
    <w:p w14:paraId="27B49B5D" w14:textId="341A82B1" w:rsidR="00DC7F61" w:rsidRPr="002C724B" w:rsidRDefault="00DC7F61" w:rsidP="00DC7F61">
      <w:pPr>
        <w:pStyle w:val="Heading2"/>
        <w:rPr>
          <w:u w:val="none"/>
        </w:rPr>
      </w:pPr>
      <w:bookmarkStart w:id="26" w:name="_Toc504382242"/>
      <w:r>
        <w:rPr>
          <w:u w:val="none"/>
        </w:rPr>
        <w:t>Kundizzjonijiet li fihom mhix meħtieġa notifika</w:t>
      </w:r>
      <w:bookmarkEnd w:id="26"/>
      <w:r>
        <w:rPr>
          <w:u w:val="none"/>
        </w:rPr>
        <w:t xml:space="preserve"> </w:t>
      </w:r>
    </w:p>
    <w:p w14:paraId="3CF456A3" w14:textId="57E8372E" w:rsidR="009B3E4E" w:rsidRDefault="00811F49" w:rsidP="00F43A6F">
      <w:p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L-Artikolu 33(1) jagħmilha ċara li ksur “li probabbilment mhux ser jirriżulta f’riskju għad-drittijiet u l-libertajiet tal-persuni fiżiċi” ma jeħtieġx notifika lill-awtorità superviżorja. Eżempju jista’ jkun meta d-</w:t>
      </w:r>
      <w:r w:rsidR="00BD591B" w:rsidRPr="00BD591B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personali diġà tkun pubblikament disponibbli u divulgazzjoni tat-tali </w:t>
      </w:r>
      <w:r w:rsidR="00BD591B" w:rsidRPr="00BD591B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ma tkunx tikkostitwixxi riskju probabbli għall-individwu. Dan hu f’kuntrast mar-rekwiżiti eżistenti ta’ notifika ta’ ksur għall-fornituri ta’ servizzi tal-komunikazzjoni elettronika disponibbli pubblikament fid-Direttiva 2009/136/KE li jiddikjaraw li kull ksur rilevanti jrid jiġi notifikat lill-awtorità kompetenti. </w:t>
      </w:r>
    </w:p>
    <w:p w14:paraId="5F583502" w14:textId="2203423A" w:rsidR="009E303B" w:rsidRDefault="00263A16" w:rsidP="00F43A6F">
      <w:p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Fl-Opinjoni tiegħu 03/2014 dwar in-notifika ta’ ksur</w:t>
      </w:r>
      <w:r>
        <w:rPr>
          <w:rStyle w:val="FootnoteReference"/>
          <w:rFonts w:ascii="Times New Roman" w:hAnsi="Times New Roman"/>
        </w:rPr>
        <w:footnoteReference w:id="35"/>
      </w:r>
      <w:r>
        <w:rPr>
          <w:rFonts w:ascii="Times New Roman" w:hAnsi="Times New Roman"/>
        </w:rPr>
        <w:t xml:space="preserve">, id-WP29 spjega li ksur tal-kunfidenzjalità ta’ </w:t>
      </w:r>
      <w:r w:rsidR="00BD591B" w:rsidRPr="00BD591B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personali li kienet kriptata permezz ta’ algoritmu tal-ogħla livell ta’ żvilupp tekniku jibqa’ ksur </w:t>
      </w:r>
      <w:r>
        <w:rPr>
          <w:rFonts w:ascii="Times New Roman" w:hAnsi="Times New Roman"/>
        </w:rPr>
        <w:lastRenderedPageBreak/>
        <w:t>tal-kunfidenzjalità, u jrid jiġi notifikat. Madankollu, jekk il-kunfidenzjalità taċ-ċavetta tibqa’ intatta – jiġifieri ċ-ċavetta ma tkunx ġiet kompromessa f’xi ksur tas-sigurtà, u tkun ġiet iġġenerata biex ma tkunx tista’ tiġi aċċessata b’mezzi tekniċi disponibbli minn kwalunkwe persuna li ma tkunx awtorizzata taċċessaha – id-</w:t>
      </w:r>
      <w:r w:rsidR="00BD591B" w:rsidRPr="00BD591B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fil-prinċipju ma tkunx intelliġibbli. B’hekk, il-ksur ikun improbabbli li affettwa b’mod avvers lill-individwi u, għalhekk, ma jkunx jeħtieġ komunikazzjoni lil dawk l-individwi</w:t>
      </w:r>
      <w:r>
        <w:rPr>
          <w:rStyle w:val="FootnoteReference"/>
          <w:rFonts w:ascii="Times New Roman" w:hAnsi="Times New Roman"/>
        </w:rPr>
        <w:footnoteReference w:id="36"/>
      </w:r>
      <w:r>
        <w:rPr>
          <w:rFonts w:ascii="Times New Roman" w:hAnsi="Times New Roman"/>
        </w:rPr>
        <w:t>. Madankollu, anki meta d-</w:t>
      </w:r>
      <w:r w:rsidR="00BD591B" w:rsidRPr="00BD591B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tiġi kriptata, telf jew alterazzjoni jista’ jkollhom konsegwenzi negattivi għas-suġġetti tad-</w:t>
      </w:r>
      <w:r w:rsidR="00BD591B" w:rsidRPr="00BD591B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meta l-kontrollur ma jkollu ebda kopja ta’ riżerva adegwata. F’dak il-każ, il-komunikazzjoni lis-suġġetti tad-</w:t>
      </w:r>
      <w:r w:rsidR="00BD591B" w:rsidRPr="00BD591B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tkun meħtieġa, anki jekk id-</w:t>
      </w:r>
      <w:r w:rsidR="00BD591B" w:rsidRPr="00BD591B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stess tkun soġġetta għal miżuri adegwati ta’ kriptaġġ. </w:t>
      </w:r>
    </w:p>
    <w:p w14:paraId="5C41AABB" w14:textId="7A066A1E" w:rsidR="00AA1FBF" w:rsidRDefault="008A65C2" w:rsidP="00F43A6F">
      <w:p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Id-WP29 spjega wkoll li b’mod simili dan ikun il-każ jekk id-</w:t>
      </w:r>
      <w:r w:rsidR="00BD591B" w:rsidRPr="00BD591B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personali, bħall-passwords, ikunu ġew hashed u salted b’mod sigur, il-valur hashed ikun ġie kkalkolat b’funzjoni keyed hash kriptografika tal-ogħla livell ta’ żvilupp tekniku, iċ-ċavetta li tkun intużat għall-hash tad-</w:t>
      </w:r>
      <w:r w:rsidR="00BD591B" w:rsidRPr="00BD591B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ma tkunx ġiet kompromessa fi kwalunkwe ksur, u ċ-ċavetta użata għall-hashing tad-</w:t>
      </w:r>
      <w:r w:rsidR="00BD591B" w:rsidRPr="00BD591B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tkun ġiet iġġenerata b’mod li ma tkunx tista’ tiġi aċċessata b’mezzi teknoloġiċi disponibbli minn kwalunkwe persuna li mhix awtorizzata taċċessaha.</w:t>
      </w:r>
    </w:p>
    <w:p w14:paraId="7F750AAE" w14:textId="16BDFABA" w:rsidR="00F43A6F" w:rsidRDefault="001B7D04" w:rsidP="00F43A6F">
      <w:p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Konsegwentement, jekk id-</w:t>
      </w:r>
      <w:r w:rsidR="00BD591B" w:rsidRPr="00BD591B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personali tkun saret essenzjalment mhux intelliġibbli għal partijiet mhux awtorizzati u meta d-</w:t>
      </w:r>
      <w:r w:rsidR="00BD591B" w:rsidRPr="00BD591B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tkun kopja jew tkun teżisti kopja ta’ riżerva, ksur tal-kunfidenzjalità li jinvolvi </w:t>
      </w:r>
      <w:r w:rsidR="00BD591B" w:rsidRPr="00BD591B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personali kriptata kif xieraq jaf ma jkollux bżonn jiġi notifikat lill-awtorità superviżorja. Dan għaliex ksur bħal dan ma jkollux probabbiltà li jirrappreżenta riskju għad-drittijiet u għal-libertajiet tal-individwi. Ovvjament dan ifisser li l-individwu lanqas ma jkollu bżonn jiġi informat peress li aktarx li ma jkun hemm ebda riskju għoli. Madankollu, ta’ min ifakkar li filwaqt li n-notifika inizjalment jaf ma tkunx meħtieġa jekk ma jkun hemm ebda riskju probabbli għad-drittijiet u għal-libertajiet tal-individwi, dan jista’ jinbidel maż-żmien u r-riskju jkollu bżonn jerġa’ jiġi evalwat. Pereżempju, jekk eventwalment jinstab li ċ-ċavetta hi kompromessa, jew tinkixef vulnerabbiltà fis-softwer ta’ kriptaġġ, in-notifika xorta jaf tkun meħtieġa.  </w:t>
      </w:r>
    </w:p>
    <w:p w14:paraId="16FC7842" w14:textId="0C3B7FAB" w:rsidR="00CD01B9" w:rsidRDefault="00B316EA" w:rsidP="00CD01B9">
      <w:p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Barra minn hekk, ta’ min jinnota li jekk iseħħ ksur u ma jkun hemm ebda kopja ta’ riżerva tad-</w:t>
      </w:r>
      <w:r w:rsidR="00BD591B" w:rsidRPr="00BD591B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personali kriptata, ikun seħħ ksur tad-disponibbiltà, li jista’ jġib miegħu riskji għall-individwi u, għalhekk, jista’ jkun jeħtieġ notifika. B’mod simili, meta jseħħ ksur li jinvolvi t-telf ta’ </w:t>
      </w:r>
      <w:r w:rsidR="00BD591B" w:rsidRPr="00BD591B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kriptata, anki jekk tkun teżisti kopja ta’ riżerva tad-</w:t>
      </w:r>
      <w:r w:rsidR="00BD591B" w:rsidRPr="00BD591B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personali, dan xorta jista’ jkun ksur rapportabbli, skont it-tul ta’ żmien meħud għar-restawr tad-</w:t>
      </w:r>
      <w:r w:rsidR="00BD591B" w:rsidRPr="00BD591B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minn dik il-kopja ta’ riżerva u l-effett li jkollu n-nuqqas ta’ disponibbiltà fuq l-individwi. Hekk kif jiddikjara l-Artikolu 32(1)(c), fattur importanti tas-sigurtà hu l-“kapaċità li jiġu restawrati d-disponibbiltà u l-aċċess għad-</w:t>
      </w:r>
      <w:r w:rsidR="00BD591B" w:rsidRPr="00BD591B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personali fil-pront fil-każ ta’ inċident fiżiku jew tekniku”.</w:t>
      </w:r>
    </w:p>
    <w:p w14:paraId="450A3B78" w14:textId="7B7C7C90" w:rsidR="00CD01B9" w:rsidRDefault="00CD01B9" w:rsidP="00927087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Eżempju</w:t>
      </w:r>
    </w:p>
    <w:p w14:paraId="5DE01B2B" w14:textId="2B227449" w:rsidR="00927087" w:rsidRPr="00927087" w:rsidRDefault="00CD01B9" w:rsidP="00927087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Ksur li ma jkunx jeħtieġ notifika lill-awtorità superviżorja jkun it-telf ta’ apparat mobbli kriptat b’mod sigur, użat mill-kontrollur u mill-persunal tiegħu. Dment li ċ-ċavetta ta’ kriptaġġ tibqa’ fil-pussess sigur tal-kontrollur u din ma tkunx l-unika kopja tad-</w:t>
      </w:r>
      <w:r w:rsidR="00BD591B" w:rsidRPr="00BD591B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personali, id-</w:t>
      </w:r>
      <w:r w:rsidR="00BD591B" w:rsidRPr="00BD591B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personali tkun inaċċessibbli għal trasgressur. Dan ifisser li jkun improbabbli li l-ksur jirriżulta f’riskju għad-drittijiet u għal-libertajiet tal-individwi tas-suġġetti tad-</w:t>
      </w:r>
      <w:r w:rsidR="00BD591B" w:rsidRPr="00BD591B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inkwisjtoni. Jekk aktar tard isir evidenti li ċ-ċavetta ta’ kriptaġġ ġiet kompromessa jew li s-softwer ta’ kriptaġġ jew l-algoritmu huma vulnerabbli, ir-riskju għad-drittijiet u għal-libertajiet tal-individwi jinbidel u b’hekk issa jaf ikun hemm bżonn ta’ notifika.</w:t>
      </w:r>
    </w:p>
    <w:p w14:paraId="1F25B743" w14:textId="3E6B5D50" w:rsidR="0051602E" w:rsidRDefault="0051602E" w:rsidP="0051602E">
      <w:p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Madankollu, nuqqas ta’ konformità mal-Artikolu 33 jeżisti meta kontrollur ma jinnotifikax lill-awtorità superviżorja f’sitwazzjoni li fiha d-</w:t>
      </w:r>
      <w:r w:rsidR="00BD591B" w:rsidRPr="00BD591B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fil-fatt ma tkunx ġiet kriptata b’mod sigur. </w:t>
      </w:r>
      <w:r>
        <w:rPr>
          <w:rFonts w:ascii="Times New Roman" w:hAnsi="Times New Roman"/>
        </w:rPr>
        <w:lastRenderedPageBreak/>
        <w:t>Għaldaqstant, meta jagħżlu s-softwer ta’ kriptaġġ, il-kontrolluri għandhom joqogħdu ferm attenti li jiżnu l-kwalità u l-implimentazzjoni xierqa tal-kriptaġġ offrut, jifhmu x’livell ta’ protezzjoni fil-fatt jipprovdi u jekk huwiex adattat għar-riskji ppreżentati. Il-kontrolluri għandhom ikunu midħla wkoll tad-dettalji ta’ kif jaħdem il-prodott tal-kriptaġġ tagħhom. Pereżempju, apparat jista’ jiġi kriptat ladarba jintefa, iżda mhux meta jkun f’modalità stand-by. Uħud mill-prodotti li jużaw kriptaġġ għandhom “ċwievet predefiniti” li jridu jinbidlu minn kull klijent biex ikunu effettivi. Il-kriptaġġ jista’ jiġi kkunsidrat adegwat minn esperti tas-sigurtà f’mument partikolari, iżda jaf isir skadut wara ftit snin, li jfisser li ma jkunx ċert jekk id-</w:t>
      </w:r>
      <w:r w:rsidR="00BD591B" w:rsidRPr="00BD591B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hix kriptata biżżejjed minn dak il-prodott u li dan jipprovdi livell xieraq ta’ protezzjoni.</w:t>
      </w:r>
    </w:p>
    <w:p w14:paraId="70DF52DA" w14:textId="056623D5" w:rsidR="00DB0665" w:rsidRPr="007E2DA1" w:rsidRDefault="00DB0665" w:rsidP="002C724B">
      <w:pPr>
        <w:pStyle w:val="Heading2"/>
        <w:numPr>
          <w:ilvl w:val="0"/>
          <w:numId w:val="0"/>
        </w:numPr>
      </w:pPr>
    </w:p>
    <w:p w14:paraId="427A61FE" w14:textId="4E2758FC" w:rsidR="00840752" w:rsidRDefault="00517698" w:rsidP="00840752">
      <w:pPr>
        <w:pStyle w:val="Heading1"/>
      </w:pPr>
      <w:bookmarkStart w:id="27" w:name="_Toc504382243"/>
      <w:r>
        <w:t>Artikolu 34 – Komunikazzjoni lis-suġġett tad-</w:t>
      </w:r>
      <w:r w:rsidR="00BD591B" w:rsidRPr="00BD591B">
        <w:rPr>
          <w:i/>
        </w:rPr>
        <w:t>data</w:t>
      </w:r>
      <w:bookmarkEnd w:id="27"/>
    </w:p>
    <w:p w14:paraId="6C0E1D38" w14:textId="4F9AD721" w:rsidR="00840752" w:rsidRPr="00737B59" w:rsidRDefault="00586579" w:rsidP="00737B59">
      <w:pPr>
        <w:pStyle w:val="Heading2"/>
        <w:rPr>
          <w:u w:val="none"/>
        </w:rPr>
      </w:pPr>
      <w:bookmarkStart w:id="28" w:name="_Toc504382244"/>
      <w:r>
        <w:rPr>
          <w:u w:val="none"/>
        </w:rPr>
        <w:t>Individwi informati</w:t>
      </w:r>
      <w:bookmarkEnd w:id="28"/>
    </w:p>
    <w:p w14:paraId="7483E646" w14:textId="262C29BE" w:rsidR="00517698" w:rsidRPr="00840752" w:rsidRDefault="00517698" w:rsidP="00517698">
      <w:p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F’ċerti każijiet, minbarra li jinnotifika lill-awtorità superviżorja, il-kontrollur ikun meħtieġ jikkomunika ksur lill-individwi affettwati wkoll. </w:t>
      </w:r>
    </w:p>
    <w:p w14:paraId="03261214" w14:textId="618BF966" w:rsidR="00517698" w:rsidRPr="00840752" w:rsidRDefault="00517698" w:rsidP="00517698">
      <w:p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L-Artikolu 34(1) jiddikjara:</w:t>
      </w:r>
    </w:p>
    <w:p w14:paraId="55C4A3BB" w14:textId="6AE85321" w:rsidR="004D443E" w:rsidRPr="00840752" w:rsidRDefault="00AE3928" w:rsidP="00AE3928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“Meta l-ksur ta’ </w:t>
      </w:r>
      <w:r w:rsidR="00BD591B" w:rsidRPr="00BD591B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personali probabbilment ikun ser jirriżulta f’riskju għoli għad-drittijiet u l-libertajiet tal-persuni fiżiċi l-kontrollur għandu jikkomunika l-ksur ta’ </w:t>
      </w:r>
      <w:r w:rsidR="00BD591B" w:rsidRPr="00BD591B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personali lis-suġġett tad-</w:t>
      </w:r>
      <w:r w:rsidR="00BD591B" w:rsidRPr="00BD591B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mingħajr dewmien bla bżonn.”</w:t>
      </w:r>
    </w:p>
    <w:p w14:paraId="57717818" w14:textId="724F12E5" w:rsidR="00840752" w:rsidRPr="002F4DF9" w:rsidRDefault="00E12651" w:rsidP="00517698">
      <w:p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Il-kontrolluri għandhom ifakkru li n-notifika lill-awtorità superviżorja hi obbligatorja sakemm ma jkunx improbabbli li jkun hemm riskju għad-drittijiet u għal-libertajiet tal-individwi bħala riżultat ta’ ksur. Barra minn hekk, meta jkun hemm probabbiltà ta’ riskju għoli għad-drittijiet u għal-libertajiet tal-individwi minħabba ksur, l-individwi jridu jiġu informati wkoll. Għalhekk, il-livell limitu għall-komunikazzjoni ta’ ksur lill-individwi hu ogħla minn dak għan-notifika tal-awtoritajiet superviżorji u, għaldaqstant, mhux kull ksur ser ikollu bżonn jiġi komunikat lill-individwi, u b’hekk ikunu protetti minn għeja li jġibu magħhom notifiki żejda.  </w:t>
      </w:r>
    </w:p>
    <w:p w14:paraId="593C65E3" w14:textId="0C2ADEBE" w:rsidR="005E2562" w:rsidRDefault="002F4DF9" w:rsidP="00517698">
      <w:p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Il-GDPR jiddikjara li l-komunikazzjoni ta’ ksur lill-individwi għandha ssir “mingħajr dewmien żejjed”, li jfisser mill-aktar fis possibbli.  L-objettiv ewlieni tan-notifika lill-individwi hu li tiġi pprovduta informazzjoni speċifika dwar il-passi li għandhom jieħdu biex jipproteġu lilhom infushom</w:t>
      </w:r>
      <w:r>
        <w:rPr>
          <w:rStyle w:val="FootnoteReference"/>
          <w:rFonts w:ascii="Times New Roman" w:hAnsi="Times New Roman"/>
        </w:rPr>
        <w:footnoteReference w:id="37"/>
      </w:r>
      <w:r>
        <w:rPr>
          <w:rFonts w:ascii="Times New Roman" w:hAnsi="Times New Roman"/>
        </w:rPr>
        <w:t xml:space="preserve">. Kif innotat aktar ’il fuq, skont in-natura tal-ksur u r-riskju miġjub, komunikazzjoni fil-ħin tgħin lill-individwi jieħdu passi biex jipproteġu lilhom infushom minn kwalunkwe konsegwenza negattiva tal-ksur. </w:t>
      </w:r>
    </w:p>
    <w:p w14:paraId="37191E31" w14:textId="02DFD9DA" w:rsidR="002F4DF9" w:rsidRPr="00840752" w:rsidRDefault="0073615E" w:rsidP="00517698">
      <w:p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L-Anness B ta’ dawn il-Linji Gwida jipprovdi lista mhux eżawrjenti ta’ eżempji ta’ meta ksur jaf ikollu probabbiltà li jirriżulta f’riskju għoli għall-individwi u, konsegwentement, każijiet li fihom kontrollur ikollu jinnotifika ksur lil dawk affettwati.</w:t>
      </w:r>
    </w:p>
    <w:p w14:paraId="59A7FFBD" w14:textId="77777777" w:rsidR="00840752" w:rsidRPr="00737B59" w:rsidRDefault="00840752" w:rsidP="00737B59">
      <w:pPr>
        <w:pStyle w:val="Heading2"/>
        <w:rPr>
          <w:u w:val="none"/>
        </w:rPr>
      </w:pPr>
      <w:bookmarkStart w:id="29" w:name="_Toc504382245"/>
      <w:r>
        <w:rPr>
          <w:u w:val="none"/>
        </w:rPr>
        <w:t>Informazzjoni li għandha tiġi pprovduta</w:t>
      </w:r>
      <w:bookmarkEnd w:id="29"/>
    </w:p>
    <w:p w14:paraId="1D0AC982" w14:textId="77777777" w:rsidR="00840752" w:rsidRPr="00840752" w:rsidRDefault="00840752" w:rsidP="00840752">
      <w:p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Meta jiġu notifikati l-individwi, l-Artikolu 34(2) jispeċifika li:</w:t>
      </w:r>
    </w:p>
    <w:p w14:paraId="38C55369" w14:textId="451A5365" w:rsidR="00E64795" w:rsidRPr="00E64795" w:rsidRDefault="00E64795" w:rsidP="00B7727B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“Il-komunikazzjoni lis-suġġett tad-</w:t>
      </w:r>
      <w:r w:rsidR="00BD591B" w:rsidRPr="00BD591B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msemmija fil-paragrafu 1 ta’ dan l-Artikolu għandha tiddeskrivi b’lingwaġġ ċar u sempliċi n-natura tal-ksur ta’ </w:t>
      </w:r>
      <w:r w:rsidR="00BD591B" w:rsidRPr="00BD591B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personali u tinkludi mill-inqas l-informazzjoni u l-miżuri imsemmija fil-punti (b), (c) u (d) tal-Artikolu 33(3).”</w:t>
      </w:r>
    </w:p>
    <w:p w14:paraId="4D60E8AD" w14:textId="3AC59E2B" w:rsidR="00840752" w:rsidRPr="00840752" w:rsidRDefault="003735D4" w:rsidP="00840752">
      <w:p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Skont din id-dispożizzjoni, il-kontrollur tal-anqas għandu jipprovdi l-informazzjoni li ġejja:</w:t>
      </w:r>
    </w:p>
    <w:p w14:paraId="19CB25FE" w14:textId="5E5D0C1A" w:rsidR="00840752" w:rsidRPr="00840752" w:rsidRDefault="00840752" w:rsidP="00840752">
      <w:pPr>
        <w:pStyle w:val="ListParagraph"/>
        <w:numPr>
          <w:ilvl w:val="0"/>
          <w:numId w:val="13"/>
        </w:num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deskrizzjoni tan-natura tal-ksur;</w:t>
      </w:r>
    </w:p>
    <w:p w14:paraId="217D3F64" w14:textId="37196770" w:rsidR="00840752" w:rsidRPr="00840752" w:rsidRDefault="00840752" w:rsidP="00840752">
      <w:pPr>
        <w:pStyle w:val="ListParagraph"/>
        <w:numPr>
          <w:ilvl w:val="0"/>
          <w:numId w:val="13"/>
        </w:num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l-isem u d-dettalji ta’ kuntatt tal-uffiċjal tal-protezzjoni tad-</w:t>
      </w:r>
      <w:r w:rsidR="00BD591B" w:rsidRPr="00BD591B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jew ta’ punt ta’ kuntatt ieħor; </w:t>
      </w:r>
    </w:p>
    <w:p w14:paraId="5CF5A90E" w14:textId="2CECA91A" w:rsidR="00840752" w:rsidRPr="00840752" w:rsidRDefault="00840752" w:rsidP="00840752">
      <w:pPr>
        <w:pStyle w:val="ListParagraph"/>
        <w:numPr>
          <w:ilvl w:val="0"/>
          <w:numId w:val="13"/>
        </w:num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deskrizzjoni tal-konsegwenzi probabbli tal-ksur; u </w:t>
      </w:r>
    </w:p>
    <w:p w14:paraId="57637419" w14:textId="77777777" w:rsidR="00840752" w:rsidRDefault="00840752" w:rsidP="00517698">
      <w:pPr>
        <w:pStyle w:val="ListParagraph"/>
        <w:numPr>
          <w:ilvl w:val="0"/>
          <w:numId w:val="13"/>
        </w:num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deskrizzjoni tal-miżuri meħuda jew proposti li jridu jittieħdu mill-kontrollur biex jindirizza l-ksur, inklużi, fejn xieraq, miżuri li jtaffu l-effetti avversi possibbli tiegħu.</w:t>
      </w:r>
    </w:p>
    <w:p w14:paraId="4C6CDD97" w14:textId="63AFC78F" w:rsidR="00732017" w:rsidRPr="00764F91" w:rsidRDefault="00C26816" w:rsidP="00764F91">
      <w:p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Bħala eżempju tal-miżuri meħuda għall-indirizzar tal-ksur u għall-mitigazzjoni tal-effetti avversi possibbli tiegħu, il-kontrollur jista’ jiddikjara li, wara li jinnotifika l-ksur lill-awtorità superviżorja rilevanti, il-kontrollur irċieva parir dwar il-ġestjoni tal-ksur u t-tnaqqis tal-impatt tiegħu. Fejn xieraq, il-kontrollur għandu jipprovdi wkoll pariri speċifiċi lill-individwi biex jipproteġu lilhom infushom kontra l-konsegwenzi avversi possibbli tal-ksur, bħar-risettjar tal-passwords f’każ li fihom ikunu ġew kompromessi l-kredenzjali tal-aċċess tagħhom. Mill-ġdid, kontrollur jista’ jagħżel li jipprovdi aktar informazzjoni minn dik li hi meħtieġa hawnhekk.  </w:t>
      </w:r>
    </w:p>
    <w:p w14:paraId="143BE779" w14:textId="77777777" w:rsidR="00F6275E" w:rsidRPr="00737B59" w:rsidRDefault="00F6275E" w:rsidP="00737B59">
      <w:pPr>
        <w:pStyle w:val="Heading2"/>
        <w:rPr>
          <w:u w:val="none"/>
        </w:rPr>
      </w:pPr>
      <w:bookmarkStart w:id="30" w:name="_Toc504382246"/>
      <w:r>
        <w:rPr>
          <w:u w:val="none"/>
        </w:rPr>
        <w:t>Ikkuntattjar tal-individwi</w:t>
      </w:r>
      <w:bookmarkEnd w:id="30"/>
    </w:p>
    <w:p w14:paraId="6F3779A7" w14:textId="3F7D6626" w:rsidR="00E176AE" w:rsidRDefault="00E176AE" w:rsidP="00517698">
      <w:p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Fil-prinċipju, il-ksur rilevanti għandu jiġi komunikat lis-suġġetti tad-</w:t>
      </w:r>
      <w:r w:rsidR="00BD591B" w:rsidRPr="00BD591B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affettwati b’mod dirett, sakemm dan ma jkunx jinvolvi sforz sproporzjonat. F’każ bħal dan, minflok għandu jkun hemm komunikazzjoni pubblika jew miżura simili fejn is-suġġetti tad-</w:t>
      </w:r>
      <w:r w:rsidR="00BD591B" w:rsidRPr="00BD591B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jiġu informati b’mod għaldaqstant effettiv (Artikolu 34(3)c).</w:t>
      </w:r>
    </w:p>
    <w:p w14:paraId="592BC4ED" w14:textId="39DC99E4" w:rsidR="00FA1E9F" w:rsidRDefault="00F6275E" w:rsidP="00517698">
      <w:p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Għandhom jintużaw messaġġi dedikati meta ksur jiġi komunikat lis-suġġetti tad-</w:t>
      </w:r>
      <w:r w:rsidR="00BD591B" w:rsidRPr="00BD591B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u dawn ma għandhomx jintbagħtu ma’ informazzjoni oħra, bħal aġġornamenti regolari, bullettini jew messaġġi standard. Dan jgħin biex il-komunikazzjoni tal-ksur tkun ċara u trasparenti.</w:t>
      </w:r>
    </w:p>
    <w:p w14:paraId="4ED65591" w14:textId="32CFF6B0" w:rsidR="00E176AE" w:rsidRDefault="001223CD" w:rsidP="001223CD">
      <w:p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Eżempji ta’ metodi ta’ komunikazzjoni trasparenti jinkludu messaġġi diretti (eż. posta elettronika, SMS, messaġġ dirett), kartelluni jew notifika fuq siti web prominenti, komunikazzjonijiet postali u reklami prominenti fil-midja stampata. Notifika ristretta biss fi ħdan stqarrija għall-istampa jew fi blogg korporattiv ma tkunx mezz effettiv ta’ komunikazzjoni ta’ ksur lil individwu. Id-WP29 jirrakkomanda li l-kontrolluri għandhom jużaw mezz li jimmassimizza l-probabbiltà ta’ komunikazzjoni xierqa tal-informazzjoni lill-individwi affettwati kollha. Skont iċ-ċirkustanzi, dan jista’ jfisser li l-kontrollur iħaddem diversi metodi ta’ komunikazzjoni, minflok ma juża kanal wieħed ta’ kuntatt.   </w:t>
      </w:r>
    </w:p>
    <w:p w14:paraId="14161B04" w14:textId="241EF5E5" w:rsidR="001223CD" w:rsidRDefault="001223CD" w:rsidP="00517698">
      <w:p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Il-kontrolluri jaf ikollhom bżonn jiżguraw ukoll li l-komunikazzjoni tkun aċċessibbli f’formati alternattivi xierqa u f’lingwi rilevanti biex jiżguraw li l-individwi jkunu jistgħu jifhmu l-informazzjoni li tiġi pprovduta lilhom. Pereżempju, meta jikkomunikaw ksur lil individwu, ġeneralment ikun xieraq li mar-riċevitur tintuża l-lingwa użata matul il-perkors normali preċedenti tan-negozju . Madankollu, jekk il-ksur jaffettwa s-suġġetti tad-</w:t>
      </w:r>
      <w:r w:rsidR="00BD591B" w:rsidRPr="00BD591B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li l-kontrollur ma jkunx interaġixxa magħhom preċedentement, jew b’mod partikolari dawk li jirresjedu fi Stat Membru differenti jew f’pajjiż ieħor mhux tal-UE fejn hu stabbilit il-kontrollur, il-komunikazzjoni fil-lingwa nazzjonali lokali tista’ tkun aċċettabbli, b’kunsiderazzjoni tar-riżorsa meħtieġa. L-aktar ħaġa importanti hi li s-suġġetti tad-</w:t>
      </w:r>
      <w:r w:rsidR="00BD591B" w:rsidRPr="00BD591B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jiġu megħjuna jifhmu n-natura tal-ksur u l-passi li jistgħu jieħdu biex jipproteġu lilhom infushom.</w:t>
      </w:r>
    </w:p>
    <w:p w14:paraId="426F3E27" w14:textId="74258933" w:rsidR="00C17059" w:rsidRDefault="00C17059" w:rsidP="00517698">
      <w:p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Il-kontrolluri jinsabu fl-aħjar pożizzjoni biex jiddeterminaw l-aktar kanal ta’ kuntatt xieraq biex jikkomunikaw ksur lill-individwi, partikolarment jekk dawn jinteraġixxu mal-klijenti tagħhom fuq bażi frekwenti. Madankollu, hu ċar li kontrollur għandu joqgħod attent jekk juża kanal ta’ kuntatt </w:t>
      </w:r>
      <w:r>
        <w:rPr>
          <w:rFonts w:ascii="Times New Roman" w:hAnsi="Times New Roman"/>
        </w:rPr>
        <w:lastRenderedPageBreak/>
        <w:t xml:space="preserve">kompromess mill-ksur peress li dan il-kanal jista’ jintuża wkoll mit-trasgressuri li jimpersonaw lill-kontrollur. </w:t>
      </w:r>
    </w:p>
    <w:p w14:paraId="4C5CA8FD" w14:textId="25DF7173" w:rsidR="006B73D6" w:rsidRDefault="0008569D" w:rsidP="0008569D">
      <w:p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Fl-istess ħin, il-Premessa 86 tispjega li: </w:t>
      </w:r>
    </w:p>
    <w:p w14:paraId="4B81ACC6" w14:textId="4CD3DB0A" w:rsidR="006B73D6" w:rsidRPr="00E64795" w:rsidRDefault="006B73D6" w:rsidP="006B73D6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“Tali komunikazzjonijiet lis-suġġetti tad-</w:t>
      </w:r>
      <w:r w:rsidR="00BD591B" w:rsidRPr="00BD591B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għandhom jsiru malajr kemm jista’ jkun raġonevolment fattibbli u f’kooperazzjoni mill-qrib mal-awtorità superviżorja, b’mod li jirrispetta l-gwida mogħtija minnha jew minn awtoritajiet rilevanti oħra, bħal awtoritajiet tal-infurzar tal-liġi. Pereżempju, il-bżonn li jitnaqqas riskju immedjat ta’ dannu jitlob komunikazzjoni immedjata mas-suġġetti tad-</w:t>
      </w:r>
      <w:r w:rsidR="00BD591B" w:rsidRPr="00BD591B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filwaqt li l-ħtieġa li jiġu implimentati miżuri adatti kontra każijiet kontinwi jew simili ta’ vjolazzjoni ta’ </w:t>
      </w:r>
      <w:r w:rsidR="00BD591B" w:rsidRPr="00BD591B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personali tista’ tiġġustifika żmien itwal għal komunikazzjoni.”</w:t>
      </w:r>
    </w:p>
    <w:p w14:paraId="60EBC2BE" w14:textId="69E677BD" w:rsidR="00586579" w:rsidRDefault="006B73D6" w:rsidP="0008569D">
      <w:p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Għaldaqstant, il-kontrolluri jaf ikunu jixtiequ jikkuntattjaw u jikkonsultaw lill-awtorità superviżorja mhux biss biex jiksbu pariri dwar l-informar lis-suġġetti tad-</w:t>
      </w:r>
      <w:r w:rsidR="00BD591B" w:rsidRPr="00BD591B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dwar ksur f’konformità mal-Artikolu 34, iżda anki dwar il-messaġġi xierqa li għandhom jintbagħtu lill-individwi, u l-aktar mezz xieraq biex jikkuntattjaw lil dawn. </w:t>
      </w:r>
    </w:p>
    <w:p w14:paraId="3FDC10E4" w14:textId="412F8054" w:rsidR="00753B63" w:rsidRDefault="002A0F13" w:rsidP="0008569D">
      <w:p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B’rabta ma’ dan hemm il-parir mogħti fil-Premessa 88 li n-notifika ta’ ksur għandha tikkunsidra “l-interessi leġittimi tal-awtoritajiet tal-infurzar tal-liġi fejn l-iżvelar bikri jista’ jxekkel mingħajr bżonn l-investigazzjoni taċ-ċirkostanzi ta’ vjolazzjoni ta’ </w:t>
      </w:r>
      <w:r w:rsidR="00BD591B" w:rsidRPr="00BD591B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personali”. Dan jista’ jfisser li f’ċerti ċirkustanzi, fejn ġustifikat, u skont il-parir tal-awtoritajiet ta’ infurzar tal-liġi, il-kontrollur jista’ jittardja l-komunikazzjoni tal-ksur lill-individwi affettwati sakemm jasal żmien tali li ma jkunux preġudikati t-tali investigazzjonijiet. Madankollu, is-suġġetti tad-</w:t>
      </w:r>
      <w:r w:rsidR="00BD591B" w:rsidRPr="00BD591B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xorta jkunu jridu jiġu informati kif xieraq wara dan iż-żmien.</w:t>
      </w:r>
    </w:p>
    <w:p w14:paraId="7880D7BC" w14:textId="1DD33124" w:rsidR="00753B63" w:rsidRDefault="00753B63" w:rsidP="0008569D">
      <w:p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Kull meta ma jkunx possibbli għall-kontrollur li jikkomunika ksur lil individwu għaliex ikun hemm </w:t>
      </w:r>
      <w:r w:rsidR="00BD591B" w:rsidRPr="00BD591B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insuffiċjenti maħżuna biex jiġi kkuntattjat l-individwu, f’dik iċ-ċirkustanza partikolari l-kontrollur għandu jinforma lill-individwu malli jkun raġonevolment fattibbli li jagħmel dan (eż. meta individwu jeżerċita d-dritt tiegħu skont l-Artikolu 15 biex jaċċessa d-</w:t>
      </w:r>
      <w:r w:rsidR="00BD591B" w:rsidRPr="00BD591B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personali u jipprovdi lill-kontrollur bl-informazzjoni addizzjonali neċessarja biex jikkuntattjah).</w:t>
      </w:r>
    </w:p>
    <w:p w14:paraId="37475C8E" w14:textId="6F1ECB06" w:rsidR="009C26F1" w:rsidRPr="00737B59" w:rsidRDefault="009C26F1" w:rsidP="00737B59">
      <w:pPr>
        <w:pStyle w:val="Heading2"/>
        <w:rPr>
          <w:u w:val="none"/>
        </w:rPr>
      </w:pPr>
      <w:bookmarkStart w:id="31" w:name="_Toc504382247"/>
      <w:r>
        <w:rPr>
          <w:u w:val="none"/>
        </w:rPr>
        <w:t>Kundizzjonijiet li fihom mhix meħtieġa komunikazzjoni</w:t>
      </w:r>
      <w:bookmarkEnd w:id="31"/>
    </w:p>
    <w:p w14:paraId="47B69644" w14:textId="009F3ECE" w:rsidR="009C26F1" w:rsidRPr="00840752" w:rsidRDefault="00E64795" w:rsidP="009C26F1">
      <w:p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L-Artikolu 34(3) jiddikjara tliet kundizzjonijiet li, jekk jiġu ssodisfati, ma tkunx meħtieġa n-notifika lill-individwi fil-każ ta’ ksur. Dawn huma:</w:t>
      </w:r>
    </w:p>
    <w:p w14:paraId="42AF9102" w14:textId="09F5669D" w:rsidR="009C26F1" w:rsidRPr="00840752" w:rsidRDefault="00133257" w:rsidP="00812F81">
      <w:pPr>
        <w:pStyle w:val="ListParagraph"/>
        <w:numPr>
          <w:ilvl w:val="0"/>
          <w:numId w:val="18"/>
        </w:num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Il-kontrollur ikun applika miżuri tekniċi u organizzazzjonali xierqa biex jipproteġi d-</w:t>
      </w:r>
      <w:r w:rsidR="00BD591B" w:rsidRPr="00BD591B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personali qabel il-ksur, b’mod partikolari dawk il-miżuri li jrendu d-</w:t>
      </w:r>
      <w:r w:rsidR="00BD591B" w:rsidRPr="00BD591B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personali mhux intelliġibbli għal kwalunkwe persuna li ma tkunx awtorizzata taċċessaha. Dawn jistgħu jinkludu, pereżempju, il-protezzjoni ta’ </w:t>
      </w:r>
      <w:r w:rsidR="00BD591B" w:rsidRPr="00BD591B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personali bi kriptaġġ tal-ogħla livell ta’ żvilupp tekniku, jew b’tokenizzazzjoni.</w:t>
      </w:r>
    </w:p>
    <w:p w14:paraId="645ADF8D" w14:textId="3E35683E" w:rsidR="009C26F1" w:rsidRPr="00840752" w:rsidRDefault="00133257" w:rsidP="009C26F1">
      <w:pPr>
        <w:pStyle w:val="ListParagraph"/>
        <w:numPr>
          <w:ilvl w:val="0"/>
          <w:numId w:val="18"/>
        </w:num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Eżatt wara ksur, il-kontrollur ikun ħa passi biex jiżgura li r-riskju għoli miġjub għad-drittijiet u għal-libertajiet tal-individwi ma jkunx għadu probabbli li jimmaterjalizza. Pereżempju, skont iċ-ċirkustanzi tal-każ, il-kontrollur jaf ikun identifika minnufih u ħa azzjoni kontra l-individwu li jkun aċċessa d-</w:t>
      </w:r>
      <w:r w:rsidR="00BD591B" w:rsidRPr="00BD591B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personali qabel ma dan seta’ jagħmel xi ħaġa biha. Xorta trid tingħata kunsiderazzjoni xierqa lill-konsegwenzi possibbli ta’ kwalunkwe ksur tal-kunfidenzjalità, mill-ġdid, skont in-natura tad-</w:t>
      </w:r>
      <w:r w:rsidR="00BD591B" w:rsidRPr="00BD591B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kkonċernata.  </w:t>
      </w:r>
    </w:p>
    <w:p w14:paraId="276311B4" w14:textId="41D1E34C" w:rsidR="00354A98" w:rsidRPr="00480BA1" w:rsidRDefault="00133257" w:rsidP="0072211C">
      <w:pPr>
        <w:pStyle w:val="ListParagraph"/>
        <w:numPr>
          <w:ilvl w:val="0"/>
          <w:numId w:val="18"/>
        </w:num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Ikun jinvolvi sforz sproporzjonat</w:t>
      </w:r>
      <w:r>
        <w:rPr>
          <w:rStyle w:val="FootnoteReference"/>
          <w:rFonts w:ascii="Times New Roman" w:hAnsi="Times New Roman"/>
        </w:rPr>
        <w:footnoteReference w:id="38"/>
      </w:r>
      <w:r>
        <w:rPr>
          <w:rFonts w:ascii="Times New Roman" w:hAnsi="Times New Roman"/>
        </w:rPr>
        <w:t xml:space="preserve"> biex jiġu kkuntattjati l-individwi, forsi meta d-dettalji ta’ kuntatt tagħhom ikunu ntilfu bħala riżultat tal-ksur jew ma jkunux magħrufa minn qabel. </w:t>
      </w:r>
      <w:r>
        <w:rPr>
          <w:rFonts w:ascii="Times New Roman" w:hAnsi="Times New Roman"/>
        </w:rPr>
        <w:lastRenderedPageBreak/>
        <w:t>Pereżempju, il-maħżen ta’ uffiċċju statistiku jegħreq u d-dokumenti li fihom id-</w:t>
      </w:r>
      <w:r w:rsidR="00BD591B" w:rsidRPr="00BD591B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personali kienu maħżuna biss f’forma fuq karti. Minflok, il-kontrollur irid jagħmel komunikazzjoni pubblika jew jieħu miżura simili, li biha l-individwi jiġu informati b’mod ugwalment effettiv. Fil-każ ta’ sforz sproporzjonat, jistgħu jkunu previsti wkoll arranġamenti tekniċi biex l-informazzjoni dwar il-ksur tkun disponibbli fuq talba, li tista’ tkun siewja għal dawk l-individwi li jaf ikunu ġew affettwati minn ksur, iżda l-kontrollur ma jkunx jista’ jikkuntattjahom b’xi mod ieħor. </w:t>
      </w:r>
    </w:p>
    <w:p w14:paraId="0A4B5AE5" w14:textId="5F41D95E" w:rsidR="00806D9A" w:rsidRPr="00806D9A" w:rsidRDefault="00862743" w:rsidP="000D2B75">
      <w:pPr>
        <w:spacing w:line="240" w:lineRule="auto"/>
        <w:jc w:val="both"/>
        <w:rPr>
          <w:rStyle w:val="CommentReference"/>
          <w:rFonts w:ascii="Times New Roman" w:hAnsi="Times New Roman"/>
          <w:sz w:val="22"/>
          <w:szCs w:val="22"/>
        </w:rPr>
      </w:pPr>
      <w:r>
        <w:rPr>
          <w:rFonts w:ascii="Times New Roman" w:hAnsi="Times New Roman"/>
        </w:rPr>
        <w:t>F’konformità mal-prinċipju ta’ responsabbiltà, il-kontrolluri għandhom ikunu kapaċi juru lill-awtorità superviżorja li huma jissodisfaw waħda jew aktar minn dawn il-kundizzjonijiet</w:t>
      </w:r>
      <w:r>
        <w:rPr>
          <w:rStyle w:val="FootnoteReference"/>
          <w:rFonts w:ascii="Times New Roman" w:hAnsi="Times New Roman"/>
        </w:rPr>
        <w:t xml:space="preserve"> </w:t>
      </w:r>
      <w:r>
        <w:rPr>
          <w:rStyle w:val="FootnoteReference"/>
          <w:rFonts w:ascii="Times New Roman" w:hAnsi="Times New Roman"/>
        </w:rPr>
        <w:footnoteReference w:id="39"/>
      </w:r>
      <w:r>
        <w:rPr>
          <w:rFonts w:ascii="Times New Roman" w:hAnsi="Times New Roman"/>
        </w:rPr>
        <w:t>.</w:t>
      </w:r>
      <w:r>
        <w:rPr>
          <w:rStyle w:val="CommentReference"/>
        </w:rPr>
        <w:t xml:space="preserve">  </w:t>
      </w:r>
      <w:r>
        <w:rPr>
          <w:rFonts w:ascii="Times New Roman" w:hAnsi="Times New Roman"/>
        </w:rPr>
        <w:t>Ta’ min ifakkar li filwaqt li n-notifika inizjalment jaf ma tkunx meħtieġa jekk ma jkun hemm ebda riskju għad-drittijiet u għal-libertajiet tal-persuni fiżiċi, dan jista’ jinbidel maż-żmien u r-riskju jkollu bżonn jerġa’ jiġi evalwat.</w:t>
      </w:r>
    </w:p>
    <w:p w14:paraId="4987E53A" w14:textId="0B56B1B6" w:rsidR="009C26F1" w:rsidRDefault="000D2B75" w:rsidP="000D2B75">
      <w:p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Jekk kontrollur jiddeċiedi li ma jikkomunikax ksur lill-individwu, l-Artikolu 34(4) jispjega li l-awtorità superviżorja tista’ titolbu jagħmel dan, jekk hi tqis li l-ksur aktarx li jirriżulta f’riskju għoli għall-individwi. Inkella, din tista’ tqis li l-kundizzjonijiet fl-Artikolu 34(3) ġew issodisfati, f’liema każ in-notifika lill-individwi ma tkunx meħtieġa. Jekk l-awtorità superviżorja tiddetermina li d-deċiżjoni ta’ nuqqas ta’ notifika lis-suġġetti tad-</w:t>
      </w:r>
      <w:r w:rsidR="00BD591B" w:rsidRPr="00BD591B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ma għandhiex bażi valida, tista’ tikkunsidra li tħaddem is-setgħat u s-sanzjonijiet disponibbli tagħha.</w:t>
      </w:r>
    </w:p>
    <w:p w14:paraId="1FC2A2AA" w14:textId="77777777" w:rsidR="007B1616" w:rsidRPr="00840752" w:rsidRDefault="007B1616" w:rsidP="000D2B75">
      <w:pPr>
        <w:spacing w:line="240" w:lineRule="auto"/>
        <w:jc w:val="both"/>
        <w:rPr>
          <w:rFonts w:ascii="Times New Roman" w:hAnsi="Times New Roman"/>
        </w:rPr>
      </w:pPr>
    </w:p>
    <w:p w14:paraId="10C0FA1F" w14:textId="77777777" w:rsidR="00847C6E" w:rsidRDefault="008A6F0D" w:rsidP="00847C6E">
      <w:pPr>
        <w:pStyle w:val="Heading1"/>
        <w:rPr>
          <w:b w:val="0"/>
        </w:rPr>
      </w:pPr>
      <w:bookmarkStart w:id="32" w:name="_Toc504382248"/>
      <w:r>
        <w:t>Valutazzjoni tar-riskju u tar-riskju għoli</w:t>
      </w:r>
      <w:bookmarkEnd w:id="32"/>
    </w:p>
    <w:p w14:paraId="779D153E" w14:textId="28DD2BF5" w:rsidR="00654F67" w:rsidRDefault="00654F67" w:rsidP="00654F67">
      <w:pPr>
        <w:pStyle w:val="Heading2"/>
        <w:rPr>
          <w:u w:val="none"/>
        </w:rPr>
      </w:pPr>
      <w:bookmarkStart w:id="33" w:name="_Toc504382249"/>
      <w:r>
        <w:rPr>
          <w:u w:val="none"/>
        </w:rPr>
        <w:t>Riskju bħala skattatur għal notifika</w:t>
      </w:r>
      <w:bookmarkEnd w:id="33"/>
    </w:p>
    <w:p w14:paraId="02C1060A" w14:textId="77777777" w:rsidR="00080177" w:rsidRDefault="00654F67" w:rsidP="00654F67">
      <w:p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Għad li l-GDPR jintroduċi l-obbligu ta’ notifika ta’ ksur, mhuwiex rekwiżit li jrid isir f’kull ċirkustanza: </w:t>
      </w:r>
    </w:p>
    <w:p w14:paraId="766B51B0" w14:textId="6AF315CA" w:rsidR="00080177" w:rsidRPr="00916B8F" w:rsidRDefault="00654F67" w:rsidP="00916B8F">
      <w:pPr>
        <w:pStyle w:val="ListParagraph"/>
        <w:numPr>
          <w:ilvl w:val="0"/>
          <w:numId w:val="37"/>
        </w:num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Notifika lill-awtorità superviżorja kompetenti tkun meħtieġa sakemm ma jkunx improbabbli li ksur jirriżulta f’riskju għad-drittijiet u għal-libertajiet tal-individwi.</w:t>
      </w:r>
    </w:p>
    <w:p w14:paraId="4AFADF72" w14:textId="0E29C859" w:rsidR="00654F67" w:rsidRPr="00916B8F" w:rsidRDefault="00654F67" w:rsidP="00916B8F">
      <w:pPr>
        <w:pStyle w:val="ListParagraph"/>
        <w:numPr>
          <w:ilvl w:val="0"/>
          <w:numId w:val="36"/>
        </w:num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Komunikazzjoni ta’ ksur lill-individwu tiskatta biss fejn ikun hemm probabbiltà li dan jirriżulta f’riskju għoli għad-drittijiet u għal-libertajiet tiegħu. </w:t>
      </w:r>
    </w:p>
    <w:p w14:paraId="7E7A70AF" w14:textId="67C7106B" w:rsidR="00F92B77" w:rsidRDefault="00654F67" w:rsidP="00654F67">
      <w:p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Dan ifisser li eżatt malli jsir jaf bi ksur, hu ta’ importanza vitali li l-kontrollur mhux biss ifittex li jikkontjeni l-inċident iżda jivvaluta wkoll ir-riskju li jista’ jirriżulta minnu. Hemm żewġ raġunijiet importanti għal dan: l-ewwel nett, l-għarfien tal-probabbiltà u tas-severità potenzjali tal-impatt fuq l-individwu jgħin lill-kontrollur jieħu passi effettivi biex jikkontjeni u jindirizza l-ksur; it-tieni, jgħinu jiddetermina jekk hix meħtieġa n-notifika lill-awtorità superviżorja u, jekk ikun hemm bżonn, lill-individwi kkonċernati. </w:t>
      </w:r>
    </w:p>
    <w:p w14:paraId="445D85DE" w14:textId="1927D851" w:rsidR="00654F67" w:rsidRPr="00F33BED" w:rsidRDefault="00654F67" w:rsidP="00654F67">
      <w:p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Kif spjegat aktar ’il fuq, notifika ta’ ksur tkun meħtieġa sakemm ma jkunx improbabbli li dan jirriżulta f’riskju għad-drittijiet u għal-libertajiet tal-individwi, u l-iskattatur prinċipali li jeħtieġ komunikazzjoni ta’ ksur lis-suġġetti tad-</w:t>
      </w:r>
      <w:r w:rsidR="00BD591B" w:rsidRPr="00BD591B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hu meta jkun probabbli li dan jirriżulta f’riskju </w:t>
      </w:r>
      <w:r>
        <w:rPr>
          <w:rFonts w:ascii="Times New Roman" w:hAnsi="Times New Roman"/>
          <w:i/>
        </w:rPr>
        <w:t>għoli</w:t>
      </w:r>
      <w:r>
        <w:rPr>
          <w:rFonts w:ascii="Times New Roman" w:hAnsi="Times New Roman"/>
        </w:rPr>
        <w:t xml:space="preserve"> għad-drittijiet u għal-libertajiet tal-individwi. Dan ir-riskju jeżisti meta l-ksur ikun jista’ jwassal għal ħsara fiżika, materjali jew mhux materjali għall-individwi li d-</w:t>
      </w:r>
      <w:r w:rsidR="00BD591B" w:rsidRPr="00BD591B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tagħhom tkun inkisret. Eżempji ta’ ħsara bħal din huma diskriminazzjoni, serq tal-identità jew frodi, telf finanzjarju u ħsara għar-reputazzjoni. Meta l-ksur ikun jinvolvi </w:t>
      </w:r>
      <w:r w:rsidR="00BD591B" w:rsidRPr="00BD591B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personali li tikxef oriġini razzjali jew etnika, opinjoni politika, twemmin reliġjuż jew filosofiku, jew sħubija fi trade union, jew tinkludi </w:t>
      </w:r>
      <w:r w:rsidR="00BD591B" w:rsidRPr="00BD591B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ġenetika, </w:t>
      </w:r>
      <w:r w:rsidR="00BD591B" w:rsidRPr="00BD591B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lastRenderedPageBreak/>
        <w:t xml:space="preserve">li tikkonċerna s-saħħa jew </w:t>
      </w:r>
      <w:r w:rsidR="00BD591B" w:rsidRPr="00BD591B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li tikkonċerna l-ħajja sesswali, jew kundanni kriminali u reati jew miżuri relatati tas-sigurtà, it-tali ħsara għandha titqies li aktarx li sseħħ</w:t>
      </w:r>
      <w:r>
        <w:rPr>
          <w:rStyle w:val="FootnoteReference"/>
          <w:rFonts w:ascii="Times New Roman" w:hAnsi="Times New Roman"/>
        </w:rPr>
        <w:footnoteReference w:id="40"/>
      </w:r>
      <w:r>
        <w:rPr>
          <w:rFonts w:ascii="Times New Roman" w:hAnsi="Times New Roman"/>
        </w:rPr>
        <w:t xml:space="preserve">. </w:t>
      </w:r>
    </w:p>
    <w:p w14:paraId="52E56359" w14:textId="77777777" w:rsidR="00654F67" w:rsidRPr="00AD61E8" w:rsidRDefault="00654F67" w:rsidP="00654F67">
      <w:pPr>
        <w:pStyle w:val="Heading2"/>
        <w:rPr>
          <w:u w:val="none"/>
        </w:rPr>
      </w:pPr>
      <w:bookmarkStart w:id="34" w:name="_Toc504382250"/>
      <w:r>
        <w:rPr>
          <w:u w:val="none"/>
        </w:rPr>
        <w:t>Fatturi li għandhom jiġu kkunsidrati meta jiġi vvalutat riskju</w:t>
      </w:r>
      <w:bookmarkEnd w:id="34"/>
    </w:p>
    <w:p w14:paraId="45213508" w14:textId="79E7157A" w:rsidR="00654F67" w:rsidRDefault="00654F67" w:rsidP="00654F67">
      <w:p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Il-Premessi 75 u 76 tal-GDPR jissuġġerixxu li ġeneralment, meta jiġi vvalutat riskju, għandha tingħata kunsiderazzjoni kemm lill-probabbiltà kif ukoll lis-severità tar-riskju għad-drittijiet u għal-libertajiet tas-suġġetti tad-</w:t>
      </w:r>
      <w:r w:rsidR="00BD591B" w:rsidRPr="00BD591B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>. Fih hu ddikjarat ukoll li r-riskju għandu jiġi evalwat fuq il-bażi ta’ valutazzjoni oġġettiva.</w:t>
      </w:r>
    </w:p>
    <w:p w14:paraId="5D7E5031" w14:textId="187247F3" w:rsidR="00654F67" w:rsidRDefault="00654F67" w:rsidP="00654F67">
      <w:p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Għandu jiġi nnotat li l-valutazzjoni tar-riskju għad-drittijiet u għal-libertajiet tal-persuni bħala riżultat ta’ ksur għandha enfasi differenti mir-riskju kkunsidrat f’DPIA)</w:t>
      </w:r>
      <w:r>
        <w:rPr>
          <w:rStyle w:val="FootnoteReference"/>
          <w:rFonts w:ascii="Times New Roman" w:hAnsi="Times New Roman"/>
        </w:rPr>
        <w:footnoteReference w:id="41"/>
      </w:r>
      <w:r>
        <w:rPr>
          <w:rFonts w:ascii="Times New Roman" w:hAnsi="Times New Roman"/>
        </w:rPr>
        <w:t>. Id-DPIA tikkunsidra kemm ir-riskji tal-proċessar tad-</w:t>
      </w:r>
      <w:r w:rsidR="00BD591B" w:rsidRPr="00BD591B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imwettaq kif ippjanat, kif ukoll ir-riskji f’każ ta’ ksur. Meta jiġi kkunsidrat ksur potenzjali, din tħares f’termini ġenerali lejn il-probabbiltà li dan iseħħ, u l-ħsara għas-suġġetti tad-</w:t>
      </w:r>
      <w:r w:rsidR="00BD591B" w:rsidRPr="00BD591B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li tista’ ssegwi; fi kliem ieħor, hi valutazzjoni ta’ avveniment ipotetiku. Bi ksur propju, l-avveniment diġà jkun seħħ, u b’hekk l-enfasi tinxteħet kollha kemm hi fuq ir-riskju li jirriżulta tal-impatt tal-ksur fuq l-individwi.</w:t>
      </w:r>
    </w:p>
    <w:p w14:paraId="51D754F8" w14:textId="77777777" w:rsidR="00654F67" w:rsidRPr="00847C6E" w:rsidRDefault="00654F67" w:rsidP="00654F67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Eżempju</w:t>
      </w:r>
    </w:p>
    <w:p w14:paraId="4CE3A0E2" w14:textId="77777777" w:rsidR="00654F67" w:rsidRPr="00847C6E" w:rsidRDefault="00654F67" w:rsidP="00654F67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</w:p>
    <w:p w14:paraId="539FE26E" w14:textId="7AE1C458" w:rsidR="00654F67" w:rsidRDefault="00654F67" w:rsidP="00654F67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DPIA tissuġġerixxi li l-użu propost ta’ prodott ta’ softwer tas-sigurtà partikolari għall-protezzjoni ta’ </w:t>
      </w:r>
      <w:r w:rsidR="00BD591B" w:rsidRPr="00BD591B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personali hu miżura xierqa biex jiġi żgurat livell ta’ sigurtà xieraq għar-riskju li l-proċessar ikun jippreżenta għall-individwi. Madankollu, jekk wara ssir magħrufa vulnerabbiltà, din tkun tbiddel l-idoneità tas-softwer għall-konteniment tar-riskju għad-</w:t>
      </w:r>
      <w:r w:rsidR="00BD591B" w:rsidRPr="00BD591B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personali protetta u b’hekk ikun hemm bżonn li jerġa’ jiġi vvalutat bħala parti minn DPIA kurrenti.</w:t>
      </w:r>
    </w:p>
    <w:p w14:paraId="37BE781E" w14:textId="77777777" w:rsidR="00654F67" w:rsidRDefault="00654F67" w:rsidP="00654F67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</w:p>
    <w:p w14:paraId="2112EECB" w14:textId="3A1B4FD6" w:rsidR="00654F67" w:rsidRPr="00847C6E" w:rsidRDefault="00654F67" w:rsidP="00654F67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Vulnerabbiltà fil-prodott tiġi sfruttata aktar tard u jseħħ ksur. Il-kontrollur għandu jivvaluta ċ-ċirkustanzi speċifiċi tal-ksur, id-</w:t>
      </w:r>
      <w:r w:rsidR="00BD591B" w:rsidRPr="00BD591B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affettwata, u l-livell potenzjali tal-impatt fuq l-individwi, kif ukoll kemm hu probabbli li r-riskju jimmaterjalizza. </w:t>
      </w:r>
    </w:p>
    <w:p w14:paraId="2EA2521D" w14:textId="77777777" w:rsidR="007B1616" w:rsidRDefault="007B1616" w:rsidP="00654F67">
      <w:pPr>
        <w:spacing w:line="240" w:lineRule="auto"/>
        <w:jc w:val="both"/>
        <w:rPr>
          <w:rFonts w:ascii="Times New Roman" w:hAnsi="Times New Roman"/>
        </w:rPr>
      </w:pPr>
    </w:p>
    <w:p w14:paraId="644B591C" w14:textId="2E963F0C" w:rsidR="00654F67" w:rsidRDefault="00654F67" w:rsidP="00654F67">
      <w:p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Għalhekk, meta jivvaluta r-riskju għall-individwi bħala riżultat ta’ ksur, il-kontrollur għandu jikkunsidra ċ-ċirkustanzi speċifiċi tal-ksur, inkluża s-severità tal-impatt potenzjali u l-probabbiltà li dan iseħħ. Għaldaqstant, id-WP29 jirrakkomanda li l-valutazzjoni għandha tqis il-kriterji li ġejjin</w:t>
      </w:r>
      <w:r>
        <w:rPr>
          <w:rStyle w:val="FootnoteReference"/>
          <w:rFonts w:ascii="Times New Roman" w:hAnsi="Times New Roman"/>
        </w:rPr>
        <w:footnoteReference w:id="42"/>
      </w:r>
      <w:r>
        <w:rPr>
          <w:rFonts w:ascii="Times New Roman" w:hAnsi="Times New Roman"/>
        </w:rPr>
        <w:t>:</w:t>
      </w:r>
    </w:p>
    <w:p w14:paraId="60248851" w14:textId="77777777" w:rsidR="00422F87" w:rsidRDefault="00422F87" w:rsidP="00422F87">
      <w:pPr>
        <w:pStyle w:val="ListParagraph"/>
        <w:numPr>
          <w:ilvl w:val="0"/>
          <w:numId w:val="35"/>
        </w:num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It-tip ta’ ksur</w:t>
      </w:r>
    </w:p>
    <w:p w14:paraId="49DDE199" w14:textId="3D9DEDB0" w:rsidR="00422F87" w:rsidRDefault="00422F87" w:rsidP="00654F67">
      <w:p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It-tip ta’ ksur li seħħ jista’ jaffettwa l-livell ta’ riskju ppreżentat lill-individwi. Pereżempju, ksur tal-kunfidenzjalità li fih tiġi ddivulgata informazzjoni medika lil partijiet mhux awtorizzati jista’ jkollu sett differenti ta’ konsegwenzi għal individwu meta mqabbel ma’ ksur li fih jintilfu d-dettalji mediċi ta’ individwu, u ma jibqgħux disponibbli aktar. </w:t>
      </w:r>
    </w:p>
    <w:p w14:paraId="16093E4E" w14:textId="604E1DF6" w:rsidR="00654F67" w:rsidRDefault="00654F67" w:rsidP="00654F67">
      <w:pPr>
        <w:pStyle w:val="ListParagraph"/>
        <w:numPr>
          <w:ilvl w:val="0"/>
          <w:numId w:val="35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In-natura, is-sensittività u l-volum tad-</w:t>
      </w:r>
      <w:r w:rsidR="00BD591B" w:rsidRPr="00BD591B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personali</w:t>
      </w:r>
    </w:p>
    <w:p w14:paraId="7BA7E6E3" w14:textId="4123B24D" w:rsidR="00654F67" w:rsidRDefault="00654F67" w:rsidP="00654F67">
      <w:p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Ovvjament, meta jiġi vvalutat ir-riskju, fattur importanti hu t-tip u s-sensittività tad-</w:t>
      </w:r>
      <w:r w:rsidR="00BD591B" w:rsidRPr="00BD591B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personali li tkun ġiet kompromessa mill-ksur.  Normalment, aktar ma tkun sensittiva d-</w:t>
      </w:r>
      <w:r w:rsidR="00BD591B" w:rsidRPr="00BD591B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, aktar ikun għoli r-riskju ta’ ħsara għan-nies affettwati, iżda għandha tingħata wkoll kunsiderazzjoni għal </w:t>
      </w:r>
      <w:r w:rsidR="00BD591B" w:rsidRPr="00BD591B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personali oħra li tista’ diġà tkun disponibbli dwar is-suġġett tad-</w:t>
      </w:r>
      <w:r w:rsidR="00BD591B" w:rsidRPr="00BD591B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>. Pereżempju, hu improbabbli li d-divulgazzjoni tal-isem u tal-indirizz ta’ individwu f’ċirkustanzi ordinarji tikkawża ħsara sostanzjali. Madankollu, jekk l-isem u l-indirizz ta’ ġenitur adottiv jiġu ddivulgati lil ġenitur tat-twelid, il-konsegwenzi jistgħu jkunu serji ħafna kemm għall-ġenitur adottiv kif ukoll għall-minorenni.</w:t>
      </w:r>
    </w:p>
    <w:p w14:paraId="73518746" w14:textId="4F0C563B" w:rsidR="00654F67" w:rsidRPr="00CF5210" w:rsidRDefault="00BC6C6B" w:rsidP="00654F67">
      <w:p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Kull ksur li jinvolvi </w:t>
      </w:r>
      <w:r w:rsidR="00BD591B" w:rsidRPr="00BD591B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dwar is-saħħa, dokumenti tal-identità, jew </w:t>
      </w:r>
      <w:r w:rsidR="00BD591B" w:rsidRPr="00BD591B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finanzjarja bħal dettalji ta’ karti tal-kreditu, jista’ jikkawża ħsara waħdu, iżda jekk jitħallat mal-oħrajn jista’ jintuża għal serq tal-identità. </w:t>
      </w:r>
      <w:r w:rsidR="00BD591B" w:rsidRPr="00BD591B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personali mħallta tipikament tkun aktar sensittiva minn biċċa waħda ta’ </w:t>
      </w:r>
      <w:r w:rsidR="00BD591B" w:rsidRPr="00BD591B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personali.</w:t>
      </w:r>
    </w:p>
    <w:p w14:paraId="19BF8F87" w14:textId="21E98C95" w:rsidR="00654F67" w:rsidRDefault="00654F67" w:rsidP="00654F67">
      <w:p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Ċerti tipi ta’ </w:t>
      </w:r>
      <w:r w:rsidR="00BD591B" w:rsidRPr="00BD591B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personali jaf għall-ewwel jidhru pjuttost innokwi, madankollu, dak li d-</w:t>
      </w:r>
      <w:r w:rsidR="00BD591B" w:rsidRPr="00BD591B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jaf tikxef dwar l-individwu affettwat għandu jiġi kkunsidrat bir-reqqa. Lista ta’ klijenti li jaċċettaw konsenji regolari jaf ma tkunx partikolarment sensittiva, iżda l-istess </w:t>
      </w:r>
      <w:r w:rsidR="00BD591B" w:rsidRPr="00BD591B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dwar klijenti li talbu li l-konsenji tagħhom jitwaqqfu waqt li jkunu fuq btala tkun informazzjoni siewja għall-kriminali.</w:t>
      </w:r>
    </w:p>
    <w:p w14:paraId="1CFDF090" w14:textId="70174749" w:rsidR="00DC0B9A" w:rsidRDefault="00DC0B9A" w:rsidP="00654F67">
      <w:p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B’mod simili, ammont żgħir ta’ </w:t>
      </w:r>
      <w:r w:rsidR="00BD591B" w:rsidRPr="00BD591B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personali ferm sensittiva jista’ jkollu impatt qawwi fuq individwu, u firxa kbira ta’ dettalji tista’ tikxef firxa akbar ta’ informazzjoni dwar dak l-individwu. Barra minn hekk, ksur li jaffettwa volumi kbar ta’ </w:t>
      </w:r>
      <w:r w:rsidR="00BD591B" w:rsidRPr="00BD591B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personali dwar ħafna suġġetti tad-</w:t>
      </w:r>
      <w:r w:rsidR="00BD591B" w:rsidRPr="00BD591B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jista’ jkollu effett fuq numru korrispondenti kbir ta’ individwi.</w:t>
      </w:r>
    </w:p>
    <w:p w14:paraId="14A414FD" w14:textId="1B135A9F" w:rsidR="00E7677B" w:rsidRDefault="00E7677B" w:rsidP="00E7677B">
      <w:pPr>
        <w:pStyle w:val="ListParagraph"/>
        <w:numPr>
          <w:ilvl w:val="0"/>
          <w:numId w:val="35"/>
        </w:num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Faċilità ta’ identifikazzjoni tal-individwi</w:t>
      </w:r>
    </w:p>
    <w:p w14:paraId="23197D10" w14:textId="202747CA" w:rsidR="003A2FAC" w:rsidRDefault="00E7677B" w:rsidP="00E7677B">
      <w:p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Fattur importanti x’jiġi kkunsidrat hu kemm ser ikun faċli biex parti li jkollha aċċess għal </w:t>
      </w:r>
      <w:r w:rsidR="00BD591B" w:rsidRPr="00BD591B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personali kompromessa tidentifika individwi speċifiċi, jew tqabbel id-</w:t>
      </w:r>
      <w:r w:rsidR="00BD591B" w:rsidRPr="00BD591B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ma’ informazzjoni oħra biex tidentifika lill-individwi. Skont iċ-ċirkustanzi, l-identifikazzjoni tista’ tkun possibbli direttament mid-</w:t>
      </w:r>
      <w:r w:rsidR="00BD591B" w:rsidRPr="00BD591B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personali miksura b’ebda riċerka speċjali meħtieġa biex tiġi skopruta l-identità tal-individwu, jew jista’ jkun estremament diffiċli li titqabbel id-</w:t>
      </w:r>
      <w:r w:rsidR="00BD591B" w:rsidRPr="00BD591B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personali ma’ individwu partikolari, iżda dan xorta jista’ jkun għadu possibbli f’ċerti kundizzjonijiet. L-identifikazzjoni tista’ tkun direttament jew indirettament possibbli mid-</w:t>
      </w:r>
      <w:r w:rsidR="00BD591B" w:rsidRPr="00BD591B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miksura, iżda tista’ tiddependi wkoll mill-kuntest speċifiku tal-ksur, u mid-disponibbiltà pubblika tad-dettalji personali relatati. Din tista’ tkun aktar rilevanti għal ksur tal-kunfidenzjalità u tad-disponibbiltà. </w:t>
      </w:r>
    </w:p>
    <w:p w14:paraId="0247B217" w14:textId="395B7024" w:rsidR="00E7677B" w:rsidRPr="00E7677B" w:rsidRDefault="00BC6C6B" w:rsidP="00E7677B">
      <w:p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Kif iddikjarat aktar ’il fuq, </w:t>
      </w:r>
      <w:r w:rsidR="00BD591B" w:rsidRPr="00BD591B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personali protetta b’livell xieraq ta’ kriptaġġ ma tkunx intelliġibbli għal persuni mhux awtorizzati mingħajr ċavetta ta’ dekriptaġġ. Barra minn hekk, psewdonomizzazzjoni implimentata kif xieraq (definita fl-Artikolu 4(5) bħala “l-ipproċessar ta’ </w:t>
      </w:r>
      <w:r w:rsidR="00BD591B" w:rsidRPr="00BD591B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personali b’tali mod li d-</w:t>
      </w:r>
      <w:r w:rsidR="00BD591B" w:rsidRPr="00BD591B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personali ma tkunx tista’ tibqa' tiġi attribwita għal suġġett tad-</w:t>
      </w:r>
      <w:r w:rsidR="00BD591B" w:rsidRPr="00BD591B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speċifiku mingħajr l-użu ta’ informazzjoni addizzjonali, dment li tali informazzjoni addizzjonali tinżamm separatament u tkun soġġetta għal miżuri tekniċi u organizzattivi biex jiġi żgurat li d-</w:t>
      </w:r>
      <w:r w:rsidR="00BD591B" w:rsidRPr="00BD591B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personali ma tiġix attribwita għal persuna fiżika identifikata jew identifikabbli”) ukoll tista’ tnaqqas il-probabbiltà li individwi jiġu identifikati f’każ ta’ ksur. Madankollu, tekniki ta’ psewdonimizzazzjoni waħedhom ma jistgħux jitqiesu li jagħmlu d-</w:t>
      </w:r>
      <w:r w:rsidR="00BD591B" w:rsidRPr="00BD591B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mhux intelliġibbli.</w:t>
      </w:r>
    </w:p>
    <w:p w14:paraId="64F1F4B3" w14:textId="77777777" w:rsidR="00654F67" w:rsidRDefault="00654F67" w:rsidP="00654F67">
      <w:pPr>
        <w:pStyle w:val="ListParagraph"/>
        <w:numPr>
          <w:ilvl w:val="0"/>
          <w:numId w:val="35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Is-severità tal-konsegwenzi għall-individwi.</w:t>
      </w:r>
    </w:p>
    <w:p w14:paraId="31455BE2" w14:textId="76C9DEC1" w:rsidR="00654F67" w:rsidRDefault="00654F67" w:rsidP="00654F67">
      <w:p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Skont in-natura tad-</w:t>
      </w:r>
      <w:r w:rsidR="00BD591B" w:rsidRPr="00BD591B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personali involuta fi ksur, pereżempju, kategoriji speċjali ta’ </w:t>
      </w:r>
      <w:r w:rsidR="00BD591B" w:rsidRPr="00BD591B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, il-ħsara potenzjali għall-individwi li tista’ tirriżulta tista’ tkun partikolarment severa, b’mod partikolari meta l-ksur ikun jista’ jirriżulta f’serq jew fi frodi tal-identità, fi ħsara fiżika, fi stress psikoloġiku, f’umiljazzjoni jew fi ħsara għar-reputazzjoni. Jekk il-ksur jikkonċerna </w:t>
      </w:r>
      <w:r w:rsidR="00BD591B" w:rsidRPr="00BD591B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personali dwar individwi vulnerabbli, dawn jistgħu jitqiegħdu f’riskju akbar ta’ ħsara. </w:t>
      </w:r>
    </w:p>
    <w:p w14:paraId="4CE2B34F" w14:textId="405E1D4E" w:rsidR="00654F67" w:rsidRDefault="00654F67" w:rsidP="00654F67">
      <w:p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Jekk il-kontrollur ikunx konxju li d-</w:t>
      </w:r>
      <w:r w:rsidR="00BD591B" w:rsidRPr="00BD591B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personali tinsab f’idejn persuni li l-intenzjonijiet tagħhom mhumiex magħrufa jew potenzjalment huma malizzjużi jista’ jkollu impatt fuq il-livell ta’ riskju potenzjali. Jista’ jkun hemm ksur tal-kunfidenzjalità, li fih id-</w:t>
      </w:r>
      <w:r w:rsidR="00BD591B" w:rsidRPr="00BD591B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personali tiġi ddivulgata lil parti </w:t>
      </w:r>
      <w:r>
        <w:rPr>
          <w:rFonts w:ascii="Times New Roman" w:hAnsi="Times New Roman"/>
        </w:rPr>
        <w:lastRenderedPageBreak/>
        <w:t>terza, kif definita fl-Artikolu 4(10), jew lil riċevitur ieħor bi żball. Dan jista’ jseħħ, pereżempju, meta d-</w:t>
      </w:r>
      <w:r w:rsidR="00BD591B" w:rsidRPr="00BD591B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personali tintbagħat bi żball lid-dipartiment żbaljat ta’ organizzazzjoni, jew lil organizzazzjoni fornitriċi użata ta’ spiss. Il-kontrollur jista’ jitlob lir-riċevitur biex jibgħat lura jew inkella jeqred b’mod sigur id-</w:t>
      </w:r>
      <w:r w:rsidR="00BD591B" w:rsidRPr="00BD591B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li rċieva. Fiż-żewġ każijiet, peress li l-kontrollur ikollu relazzjoni kurrenti mar-riċevitur, u dan jista’ jkun konxju mill-proċeduri u mill-istorja tiegħu u minn dettalji rilevanti oħra, ir-riċevitur jista’ jitqies “fdat”. Fi kliem ieħor, il-kontrollur jista’ jkollu livell ta’ aċċertament mar-riċevitur biex ikun jista’ jistenna b’mod raġonevoli li dik il-parti mhix se taqra jew taċċessa d-</w:t>
      </w:r>
      <w:r w:rsidR="00BD591B" w:rsidRPr="00BD591B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mibgħuta bi żball, u li din se tikkonforma mal-istruzzjonijiet li tirritornaha. Anki jekk id-</w:t>
      </w:r>
      <w:r w:rsidR="00BD591B" w:rsidRPr="00BD591B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tkun ġiet aċċessata, xorta waħda jkun possibbli li l-kontrollur jafda lir-riċevitur biex ma jieħu ebda azzjoni ulterjuri biha u jirritorna d-</w:t>
      </w:r>
      <w:r w:rsidR="00BD591B" w:rsidRPr="00BD591B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lill-kontrollur minnufih u jikkoopera mal-irkupru tagħha. F’każijiet bħal dawn, dan jista’ jiġi inkluż fil-valutazzjoni tar-riskju li l-kontrollur jagħmel wara l-ksur – il-fatt li r-riċevitur hu fdat jista’ jxejjen is-severità tal-konsegwenzi tal-ksur iżda dan ma jfissirx li ma seħħx ksur. Madankollu, min-naħa tiegħu dan jista’ jneħħi l-probabbiltà ta’ riskju għall-individwi, u b'hekk ma jkunx jeħtieġ aktar in-notifika lill-awtorità superviżorja, jew lill-individwi affettwati. Mill-ġdid, dan jiddependi minn valutazzjoni fuq bażi ta’ każ b’każ. Minkejja dan, il-kontrollur xorta waħda jrid iżomm l-informazzjoni li tikkonċerna l-ksur bħala parti mid-dmir ġenerali li jżomm rekords dwar il-ksur (ara t-taqsima V aktar ’il quddiem). </w:t>
      </w:r>
    </w:p>
    <w:p w14:paraId="3005BF1B" w14:textId="77777777" w:rsidR="00654F67" w:rsidRDefault="00654F67" w:rsidP="00654F67">
      <w:p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Għandha tingħata kunsiderazzjoni lill-permanenza tal-konsegwenzi għall-individwi, fejn l-impatt jista’ jitqies li jkun akbar jekk l-effetti jkunu fit-tul.</w:t>
      </w:r>
    </w:p>
    <w:p w14:paraId="67814DBE" w14:textId="77777777" w:rsidR="00654F67" w:rsidRDefault="00654F67" w:rsidP="00654F67">
      <w:pPr>
        <w:pStyle w:val="ListParagraph"/>
        <w:numPr>
          <w:ilvl w:val="0"/>
          <w:numId w:val="35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Karatteristiċi speċjali tal-individwu</w:t>
      </w:r>
    </w:p>
    <w:p w14:paraId="6690512E" w14:textId="418AC2B7" w:rsidR="00654F67" w:rsidRDefault="00654F67" w:rsidP="00654F67">
      <w:p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Ksur jista’ jaffettwa d-</w:t>
      </w:r>
      <w:r w:rsidR="00BD591B" w:rsidRPr="00BD591B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personali li tikkonċerna lit-tfal jew lil individwi vulnerabbli oħra, li jistgħu jkunu f’riskju akbar ta’ periklu bħala riżultat ta’ dan. Jista’ jkun hemm fatturi oħra dwar l-individwu li jistgħu jaffettwaw il-livell tal-impatt tal-ksur fuqu.</w:t>
      </w:r>
    </w:p>
    <w:p w14:paraId="51536E72" w14:textId="1902D330" w:rsidR="00DC0B9A" w:rsidRPr="000519BC" w:rsidRDefault="00DC0B9A" w:rsidP="000519BC">
      <w:pPr>
        <w:pStyle w:val="ListParagraph"/>
        <w:numPr>
          <w:ilvl w:val="0"/>
          <w:numId w:val="35"/>
        </w:num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Karatteristiċi speċjali tal-kontrollur tad-</w:t>
      </w:r>
      <w:r w:rsidR="00BD591B" w:rsidRPr="00BD591B">
        <w:rPr>
          <w:rFonts w:ascii="Times New Roman" w:hAnsi="Times New Roman"/>
          <w:i/>
        </w:rPr>
        <w:t>data</w:t>
      </w:r>
    </w:p>
    <w:p w14:paraId="4A0B3ECE" w14:textId="3AC2F2EE" w:rsidR="000519BC" w:rsidRDefault="00DC0B9A" w:rsidP="000519BC">
      <w:p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In-natura u r-rwol tal-kontrollur u tal-attivitajiet tiegħu jistgħu jaffettwaw ir-riskju għall-individwu bħala riżultat ta’ ksur. Pereżempju, organizzazzjoni medika tipproċessa kategoriji speċjali ta’ </w:t>
      </w:r>
      <w:r w:rsidR="00BD591B" w:rsidRPr="00BD591B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personali, li tfisser li hemm theddida akbar għall-individwi jekk id-</w:t>
      </w:r>
      <w:r w:rsidR="00BD591B" w:rsidRPr="00BD591B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personali tagħhom tinkiser, meta mqabbla ma’ lista ta’ indirizzi tal-konsenja ta’ gazzetta.</w:t>
      </w:r>
    </w:p>
    <w:p w14:paraId="5EA3BFD7" w14:textId="77777777" w:rsidR="00632DF5" w:rsidRDefault="00632DF5" w:rsidP="00632DF5">
      <w:pPr>
        <w:pStyle w:val="ListParagraph"/>
        <w:numPr>
          <w:ilvl w:val="0"/>
          <w:numId w:val="35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In-numru ta’ individwi affettwati</w:t>
      </w:r>
    </w:p>
    <w:p w14:paraId="27B4D031" w14:textId="4ED07D36" w:rsidR="00632DF5" w:rsidRDefault="00632DF5" w:rsidP="000519BC">
      <w:p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Ksur jista’ jaffettwa individwu wieħed biss jew ftit individwi jew diversi eluf, jekk mhux ħafna aktar. Ġeneralment, aktar ma jkun kbir in-numru ta’ individwi affettwati, aktar ikun kbir l-impatt li jista’ jkollu ksur. Madankollu, ksur jista’ jkollu impatt sever anki fuq individwu wieħed, skont in-natura tad-</w:t>
      </w:r>
      <w:r w:rsidR="00BD591B" w:rsidRPr="00BD591B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personali u l-kuntest li fih tkun ġiet kompromessa. Mill-ġdid, hu importanti li jiġu kkunsidrati l-probabbiltà u s-severità tal-impatt fuq dawk affettwati.</w:t>
      </w:r>
    </w:p>
    <w:p w14:paraId="498745C6" w14:textId="2C753EFA" w:rsidR="00654F67" w:rsidRPr="000519BC" w:rsidRDefault="00654F67" w:rsidP="000519BC">
      <w:pPr>
        <w:pStyle w:val="ListParagraph"/>
        <w:numPr>
          <w:ilvl w:val="0"/>
          <w:numId w:val="35"/>
        </w:num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Punti ġenerali</w:t>
      </w:r>
    </w:p>
    <w:p w14:paraId="658CA4A1" w14:textId="77777777" w:rsidR="00654F67" w:rsidRDefault="00654F67" w:rsidP="00654F67">
      <w:pPr>
        <w:spacing w:before="20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Għaldaqstant, meta jivvaluta r-riskju li aktarx li jirriżulta minn ksur, il-kontrollur għandu jikkunsidra taħlita tas-severità tal-impatt potenzjali fuq id-drittijiet u fuq il-libertajiet tal-individwi u tal-probabbiltà li dawn iseħħu. Jidher ċar li, meta l-konsegwenzi ta’ ksur ikunu aktar severi, ir-riskju jkun akbar u, b’mod simili, meta l-probabbiltà li dawn iseħħu tkun akbar, anki r-riskju jkun ogħla. Jekk jiġi f’dubju, il-kontrollur għandu jiżbalja fuq in-naħa tal-kawtela u jinnotifika. L-Anness B jipprovdi xi eżempji siewja ta’ tipi differenti ta’ ksur li jinvolvu riskju jew riskju għoli għall-individwi.</w:t>
      </w:r>
    </w:p>
    <w:p w14:paraId="5F949D50" w14:textId="7A4ADC32" w:rsidR="00654F67" w:rsidRDefault="00654F67" w:rsidP="00654F67">
      <w:p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L-Aġenzija tal-Unjoni Ewropea dwar is-Sigurtà tan-Netwerks u l-Informazzjoni (ENISA) ipproduċiet rakkomandazzjonijiet għal metodoloġija ta’ valutazzjoni tas-severità ta’ ksur, li l-kontrolluri u l-proċessuri jafu jsibu utli meta jiddeżinjaw il-pjan tagħhom ta’ rispons għall-ġestjoni ta’ ksur</w:t>
      </w:r>
      <w:r>
        <w:rPr>
          <w:rStyle w:val="FootnoteReference"/>
          <w:rFonts w:ascii="Times New Roman" w:hAnsi="Times New Roman"/>
        </w:rPr>
        <w:footnoteReference w:id="43"/>
      </w:r>
      <w:r>
        <w:rPr>
          <w:rFonts w:ascii="Times New Roman" w:hAnsi="Times New Roman"/>
        </w:rPr>
        <w:t>.</w:t>
      </w:r>
    </w:p>
    <w:p w14:paraId="2B786594" w14:textId="77777777" w:rsidR="00927087" w:rsidRPr="00737B59" w:rsidRDefault="00927087" w:rsidP="00737B59">
      <w:pPr>
        <w:spacing w:line="240" w:lineRule="auto"/>
        <w:jc w:val="both"/>
        <w:rPr>
          <w:rFonts w:ascii="Times New Roman" w:hAnsi="Times New Roman"/>
        </w:rPr>
      </w:pPr>
    </w:p>
    <w:p w14:paraId="1CF22A11" w14:textId="698DED11" w:rsidR="00EC59D6" w:rsidRDefault="00DF1BD8" w:rsidP="00EC59D6">
      <w:pPr>
        <w:pStyle w:val="Heading1"/>
      </w:pPr>
      <w:bookmarkStart w:id="35" w:name="_Toc504382251"/>
      <w:r>
        <w:t>Responsabbiltà u żamma ta’ rekords</w:t>
      </w:r>
      <w:bookmarkEnd w:id="35"/>
    </w:p>
    <w:p w14:paraId="04CC8C6E" w14:textId="6E3AD6B8" w:rsidR="00EC59D6" w:rsidRPr="00EC59D6" w:rsidRDefault="00EC59D6" w:rsidP="00EC59D6">
      <w:pPr>
        <w:pStyle w:val="Heading2"/>
        <w:rPr>
          <w:u w:val="none"/>
        </w:rPr>
      </w:pPr>
      <w:bookmarkStart w:id="36" w:name="_Toc504382252"/>
      <w:r>
        <w:rPr>
          <w:u w:val="none"/>
        </w:rPr>
        <w:t>Dokumentazzjoni tal-ksur</w:t>
      </w:r>
      <w:bookmarkEnd w:id="36"/>
    </w:p>
    <w:p w14:paraId="2AB0083B" w14:textId="1FC64906" w:rsidR="00DF1BD8" w:rsidRDefault="00DF1BD8" w:rsidP="00DF1BD8">
      <w:p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Indipendentement minn jekk ksur iridx jiġi notifikat lill-awtorità superviżorja, il-kontrollur irid iżomm dokumentazzjoni ta’ kull ksur, hekk kif jispjega l-Artikolu 33(5):</w:t>
      </w:r>
    </w:p>
    <w:p w14:paraId="1B7CAE31" w14:textId="2E8BE982" w:rsidR="00DF1BD8" w:rsidRDefault="000B31B7" w:rsidP="000B31B7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“Il-kontrollur għandu jiddokumenta kwalunkwe ksur ta’ </w:t>
      </w:r>
      <w:r w:rsidR="00BD591B" w:rsidRPr="00BD591B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personali, inklużi l-fatti relattivi għall-ksur tad-</w:t>
      </w:r>
      <w:r w:rsidR="00BD591B" w:rsidRPr="00BD591B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personali, l-effetti tiegħu u l-azzjoni ta’ rimedju meħuda. Dik id-dokumentazzjoni għandha tippermetti lill-awtorità superviżorja tivverifika l-konformità ma’ dan l-Artikolu.”</w:t>
      </w:r>
    </w:p>
    <w:p w14:paraId="4F4BBFE9" w14:textId="634C76DD" w:rsidR="00304A87" w:rsidRDefault="00DF1BD8" w:rsidP="00DF1BD8">
      <w:p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Dan hu marbut mal-prinċipju ta’ responsabbiltà tal-GDPR, li jinsab fl-Artikolu 5(2). L-iskop tar-reġistrazzjoni ta’ ksur mhux notifikabbli, kif ukoll ta’ ksur notifikabbli, hu relatat mal-obbligi tal-kontrollur skont l-Artikolu 24, u l-awtorità superviżorja tista’ titlob li tara dawn ir-rekords. Għaldaqstant, il-kontrolluri huma mħeġġa jistabbilixxu reġistru intern ta’ ksur, indipendentement minn jekk humiex meħtieġa jinnotifikaw jew le</w:t>
      </w:r>
      <w:r>
        <w:rPr>
          <w:rStyle w:val="FootnoteReference"/>
          <w:rFonts w:ascii="Times New Roman" w:hAnsi="Times New Roman"/>
        </w:rPr>
        <w:footnoteReference w:id="44"/>
      </w:r>
      <w:r>
        <w:rPr>
          <w:rFonts w:ascii="Times New Roman" w:hAnsi="Times New Roman"/>
        </w:rPr>
        <w:t xml:space="preserve">. </w:t>
      </w:r>
    </w:p>
    <w:p w14:paraId="7B04793D" w14:textId="6FB5B692" w:rsidR="00304A87" w:rsidRDefault="00304A87" w:rsidP="00DF1BD8">
      <w:p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Filwaqt li hu f’idejn il-kontrollur li jiddetermina x’metodu u xi struttura għandhom jintużaw meta jiddokumenta ksur, f’termini ta’ informazzjoni reġistrabbli hemm elementi importanti li għandhom jiġu inklużi fil-każijiet kollha. Kif inhu meħtieġ mill-Artikolu 33(5), il-kontrollur għandu bżonn jirreġistra d-dettalji li jikkonċernaw il-ksur, li għandhom jinkludu l-kawżi tiegħu, x’seħħ u d-</w:t>
      </w:r>
      <w:r w:rsidR="00BD591B" w:rsidRPr="00BD591B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personali affettwata. Għandu jinkludi wkoll l-effetti u l-konsegwenzi tal-ksur, flimkien mal-azzjoni korrettiva meħuda mill-kontrollur.</w:t>
      </w:r>
    </w:p>
    <w:p w14:paraId="70E4DE66" w14:textId="6A5EA72A" w:rsidR="00B61BDB" w:rsidRDefault="00B61BDB" w:rsidP="00DF1BD8">
      <w:p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Il-GDPR ma jispeċifikax perjodu ta’ żamma għat-tali dokumentazzjoni. Meta t-tali rekords ikun fihom </w:t>
      </w:r>
      <w:r w:rsidR="00BD591B" w:rsidRPr="00BD591B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personali, ikun f’idejn il-kontrollur li jiddetermina l-perjodu xieraq ta’ żamma f’konformità mal-prinċipji b’rabta mal-proċessar ta’ </w:t>
      </w:r>
      <w:r w:rsidR="00BD591B" w:rsidRPr="00BD591B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personali</w:t>
      </w:r>
      <w:r>
        <w:rPr>
          <w:rStyle w:val="FootnoteReference"/>
          <w:rFonts w:ascii="Times New Roman" w:hAnsi="Times New Roman"/>
        </w:rPr>
        <w:footnoteReference w:id="45"/>
      </w:r>
      <w:r>
        <w:rPr>
          <w:rFonts w:ascii="Times New Roman" w:hAnsi="Times New Roman"/>
        </w:rPr>
        <w:t xml:space="preserve"> u li jissodisfa bażi legali għall-proċessar</w:t>
      </w:r>
      <w:r>
        <w:rPr>
          <w:rStyle w:val="FootnoteReference"/>
          <w:rFonts w:ascii="Times New Roman" w:hAnsi="Times New Roman"/>
        </w:rPr>
        <w:footnoteReference w:id="46"/>
      </w:r>
      <w:r>
        <w:rPr>
          <w:rFonts w:ascii="Times New Roman" w:hAnsi="Times New Roman"/>
        </w:rPr>
        <w:t xml:space="preserve">. Ikollu bżonn iżomm id-dokumentazzjoni f’konformità mal-Artikolu 33(5) peress li jista’ jintalab jipprovdi evidenza tal-konformità ma’ dak l-Artikolu, jew mal-prinċipju ta’ responsabbiltà b’mod aktar ġenerali, lill-awtorità superviżorja. Hu ċar li, jekk ir-rekords infushom ma jkun fihom ebda </w:t>
      </w:r>
      <w:r w:rsidR="00BD591B" w:rsidRPr="00BD591B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personali, mela l-prinċipju ta’ limitazzjoni tal-ħżin</w:t>
      </w:r>
      <w:r>
        <w:rPr>
          <w:rStyle w:val="FootnoteReference"/>
          <w:rFonts w:ascii="Times New Roman" w:hAnsi="Times New Roman"/>
        </w:rPr>
        <w:footnoteReference w:id="47"/>
      </w:r>
      <w:r>
        <w:rPr>
          <w:rFonts w:ascii="Times New Roman" w:hAnsi="Times New Roman"/>
        </w:rPr>
        <w:t xml:space="preserve"> tal-GDPR ma japplikax.</w:t>
      </w:r>
    </w:p>
    <w:p w14:paraId="297FB817" w14:textId="62C6A00E" w:rsidR="00870095" w:rsidRDefault="00870095" w:rsidP="00015C39">
      <w:p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Minbarra dawn id-dettalji, id-WP29 jirrakkomanda li l-kontrollur jiddokumenta wkoll il-motivazzjonijiet tiegħu għad-deċiżjonijiet meħuda bħala tweġiba għal ksur. B’mod partikolari, jekk ksur ma jiġix notifikat, għandha tiġi dokumentata ġustifikazzjoni għal dik id-deċiżjoni. Din għandha </w:t>
      </w:r>
      <w:r>
        <w:rPr>
          <w:rFonts w:ascii="Times New Roman" w:hAnsi="Times New Roman"/>
        </w:rPr>
        <w:lastRenderedPageBreak/>
        <w:t>tinkludi raġunijiet dwar għaliex il-kontrollur iqis li hu improbabbli li l-ksur jirriżulta f’riskju għad-drittijiet u għal-libertajiet tal-individwi</w:t>
      </w:r>
      <w:r>
        <w:rPr>
          <w:rStyle w:val="FootnoteReference"/>
          <w:rFonts w:ascii="Times New Roman" w:hAnsi="Times New Roman"/>
        </w:rPr>
        <w:footnoteReference w:id="48"/>
      </w:r>
      <w:r>
        <w:rPr>
          <w:rFonts w:ascii="Times New Roman" w:hAnsi="Times New Roman"/>
        </w:rPr>
        <w:t>. Inkella, jekk il-kontrollur iqis li hi ssodisfata xi waħda mill-kundizzjonijiet fl-Artikolu 34(3), għandu jkun kapaċi jipprovdi l-evidenza xierqa li turi li dan hu l-każ.</w:t>
      </w:r>
    </w:p>
    <w:p w14:paraId="409C3AB6" w14:textId="08B07928" w:rsidR="00AA6E5B" w:rsidRDefault="00AA6E5B" w:rsidP="00015C39">
      <w:p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Meta l-kontrollur jinnotifika ksur lill-awtorità superviżorja, iżda n-notifika tiġi mdewma, il-kontrollur irid ikun kapaċi jipprovdi raġunijiet għal dak id-dewmien; dokumentazzjoni relatata ma’ dan tista’ tgħin biex jintwera li d-dewmien fir-rapportar hu ġustifikat u mhuwiex eċċessiv. </w:t>
      </w:r>
    </w:p>
    <w:p w14:paraId="00800EAE" w14:textId="78F72820" w:rsidR="00AA6E5B" w:rsidRPr="00AA6E5B" w:rsidRDefault="00AA6E5B" w:rsidP="00015C39">
      <w:p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Meta l-kontrollur jikkomunika ksur lill-individwi affettwati, dan għandu jkun trasparenti dwar il-ksur u jikkomunika b’mod effettiv u fil-ħin. Għalhekk, ikun ta’ għajnuna li l-kontrollur juri responsabbiltà u konformità billi jżomm evidenza tat-tali komunikazzjoni.</w:t>
      </w:r>
    </w:p>
    <w:p w14:paraId="53DF529D" w14:textId="397135E4" w:rsidR="00372B8C" w:rsidRDefault="005E2D97" w:rsidP="005E2D97">
      <w:p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Biex jgħin fil-konformità mal-Artikoli 33 u 34, ikun ta’ vantaġġ kemm għall-kontrolluri kif ukoll għall-proċessuri li jkollhom proċedura dokumentata ta’ notifika fis-seħħ, li tistabbilixxi l-proċess li għandu jiġi segwit ladarba jiġi individwat ksur, inkluż kif jiġi kontenut, ġestit u rkuprat l-inċident, kif ukoll li tivvaluta r-riskju, u tinnotifika l-ksur. F'dan ir-rigward, biex tintwera l-konformità mal-GDPR, jista’ jkun siewi wkoll li jintwera li l-impjegati ġew informati dwar l-eżistenza tat-tali proċeduri u mekkaniżmi u li dawn jafu kif jirreaġixxu għal ksur. </w:t>
      </w:r>
    </w:p>
    <w:p w14:paraId="7433B825" w14:textId="65C3996E" w:rsidR="003B0351" w:rsidRPr="00EC59D6" w:rsidRDefault="003B0351" w:rsidP="005E2D97">
      <w:p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Ta’ min jinnota li nuqqas ta’ dokumentazzjoni xierqa ta’ ksur jista’ jwassal biex l-awtorità superviżorja teżerċita s-setgħat tagħha skont l-Artikolu 58 u/jew timponi multa amministrattiva f’konformità mal-Artikolu 83.</w:t>
      </w:r>
    </w:p>
    <w:p w14:paraId="606F3803" w14:textId="4CE1BE69" w:rsidR="00EC59D6" w:rsidRPr="00916B8F" w:rsidRDefault="000F232C" w:rsidP="00EC59D6">
      <w:pPr>
        <w:pStyle w:val="Heading2"/>
        <w:rPr>
          <w:u w:val="none"/>
        </w:rPr>
      </w:pPr>
      <w:bookmarkStart w:id="37" w:name="_Toc504382253"/>
      <w:r>
        <w:rPr>
          <w:u w:val="none"/>
        </w:rPr>
        <w:t>Rwol tal-Uffiċjal tal-Protezzjoni tad-</w:t>
      </w:r>
      <w:r w:rsidR="00BD591B" w:rsidRPr="00BD591B">
        <w:rPr>
          <w:i/>
          <w:u w:val="none"/>
        </w:rPr>
        <w:t>Data</w:t>
      </w:r>
      <w:bookmarkEnd w:id="37"/>
    </w:p>
    <w:p w14:paraId="743CE504" w14:textId="7A878C1B" w:rsidR="005E5798" w:rsidRDefault="00EC59D6" w:rsidP="00DF1BD8">
      <w:p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Kontrollur jew proċessur jista’ jkollu Uffiċjal tal-Protezzjoni tad-</w:t>
      </w:r>
      <w:r w:rsidR="00BD591B" w:rsidRPr="00BD591B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(DPO)</w:t>
      </w:r>
      <w:r>
        <w:rPr>
          <w:rStyle w:val="FootnoteReference"/>
          <w:rFonts w:ascii="Times New Roman" w:hAnsi="Times New Roman"/>
        </w:rPr>
        <w:footnoteReference w:id="49"/>
      </w:r>
      <w:r>
        <w:rPr>
          <w:rFonts w:ascii="Times New Roman" w:hAnsi="Times New Roman"/>
        </w:rPr>
        <w:t xml:space="preserve">, kif meħtieġ mill-Artikolu 37 jew inkella b’mod volontarju bħala kwistjoni ta’ prattika tajba. L-Artikolu 39 tal-GDPR jistabbilixxi numru ta’ kompiti obbligatorji għad-DPO, iżda ma jipprevjenix lill-kontrollur milli jalloka kompiti oħra, jekk dawn ikunu xierqa. </w:t>
      </w:r>
    </w:p>
    <w:p w14:paraId="334D2FFE" w14:textId="444D7C02" w:rsidR="000F5BDB" w:rsidRDefault="006528ED" w:rsidP="00DF1BD8">
      <w:p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Ta’ rilevanza partikolari għan-notifika ta’ ksur, il-kompiti obbligatorji tad-DPO jinkludu, fost dmirijiet oħra, l-għoti ta’ pariri u ta’ informazzjoni dwar il-protezzjoni tad-</w:t>
      </w:r>
      <w:r w:rsidR="00BD591B" w:rsidRPr="00BD591B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lill-kontrollur jew lill-proċessur, il-monitoraġġ tal-konformità mal-GDPR, u l-għoti ta’ pariri b’rabta mad-DPIAs. Id-DPO jrid jikkoopera wkoll mal-awtorità superviżorja u jaġixxi bħala punt ta’ kuntatt għall-awtorità superviżorja u għas-suġġetti tad-</w:t>
      </w:r>
      <w:r w:rsidR="00BD591B" w:rsidRPr="00BD591B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. Għandu jiġi nnotat ukoll li, meta jiġi notifikat il-ksur lill-awtorità superviżorja, l-Artikolu 33(3)(b) jeħtieġ li l-kontrollur jipprovdi l-isem u d-dettalji ta’ kuntatt tad-DPO tiegħu, jew ta’ punt ta’ kuntatt ieħor. </w:t>
      </w:r>
    </w:p>
    <w:p w14:paraId="2F9283B5" w14:textId="28A6F12B" w:rsidR="000F5BDB" w:rsidRDefault="000F5BDB" w:rsidP="00DF1BD8">
      <w:p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F’termini tad-dokumentazzjoni tal-ksur, il-kontrollur jew il-proċessur jaf ikun jixtieq jikseb l-opinjoni tad-DPO tiegħu rigward l-istruttura, il-kompożizzjoni u l-amministrazzjoni ta’ din id-dokumentazzjoni. Id-DPO jista’ jingħata wkoll il-kompitu addizzjonali li jżomm it-tali rekords.</w:t>
      </w:r>
    </w:p>
    <w:p w14:paraId="0BF8043C" w14:textId="1A3BC7E1" w:rsidR="007F3FDA" w:rsidRDefault="004F7F78" w:rsidP="00DF1BD8">
      <w:p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Dawn il-fatturi jfissru li d-DPO għandu jaqdi rwol importanti fil-valutazzjoni tal-prevenzjoni ta’ ksur, jew ta’ tħejjija għal dan, billi jipprovdi pariri u jissorvelja l-konformità, kif ukoll matul ksur (jiġifieri meta jinnotifika lill-awtorità superviżorja), u matul kwalunkwe investigazzjoni sussegwenti mill-awtorità superviżorja. F’dan il-kuntest, id-WP29 jirrakkomanda li d-DPO jiġi informat minnufih dwar l-eżistenza ta’ ksur u li jkun involut matul il-proċess kollu ta’ ġestjoni u ta’ notifika tal-ksur.</w:t>
      </w:r>
    </w:p>
    <w:p w14:paraId="1A095CA4" w14:textId="77777777" w:rsidR="003B0351" w:rsidRPr="00DF1BD8" w:rsidRDefault="003B0351" w:rsidP="00DF1BD8">
      <w:pPr>
        <w:spacing w:line="240" w:lineRule="auto"/>
        <w:jc w:val="both"/>
        <w:rPr>
          <w:rFonts w:ascii="Times New Roman" w:hAnsi="Times New Roman"/>
        </w:rPr>
      </w:pPr>
    </w:p>
    <w:p w14:paraId="08F2FC11" w14:textId="070F2128" w:rsidR="00D466A7" w:rsidRPr="00D466A7" w:rsidRDefault="00195F91" w:rsidP="00D466A7">
      <w:pPr>
        <w:pStyle w:val="Heading1"/>
        <w:rPr>
          <w:b w:val="0"/>
        </w:rPr>
      </w:pPr>
      <w:bookmarkStart w:id="38" w:name="_Toc504382254"/>
      <w:r>
        <w:t>Obbligi ta’ notifika skont strumenti legali oħra</w:t>
      </w:r>
      <w:bookmarkEnd w:id="38"/>
    </w:p>
    <w:p w14:paraId="38CD252A" w14:textId="3D1D88C5" w:rsidR="00D61AA1" w:rsidRDefault="00D61AA1" w:rsidP="00D61AA1">
      <w:p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Minbarra n-notifika u l-komunikazzjoni tal-ksur tal-GDPR, u b’mod separat minn dawn, il-kontrolluri għandhom ikunu konxji wkoll dwar kwalunkwe rekwiżit li jinnotifikaw inċidenti tas-sigurtà skont leġiżlazzjoni assoċjata oħra li tista’ tapplika għalihom u jekk din tistax teħtieġhom ukoll jinnotifikaw lill-awtorità superviżorja dwar ksur ta’ </w:t>
      </w:r>
      <w:r w:rsidR="00BD591B" w:rsidRPr="00BD591B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personali fl-istess ħin. Rekwiżiti bħal dawn jistgħu jvarjaw bejn l-Istati Membri, iżda eżempji ta’ rekwiżiti ta’ notifika fi strumenti legali oħra, u kif dawn jirrelataw mal-GDPR jinkludu dawn li ġejjin: </w:t>
      </w:r>
    </w:p>
    <w:p w14:paraId="31177CD9" w14:textId="20D04879" w:rsidR="00D61AA1" w:rsidRDefault="00D61AA1" w:rsidP="00D61AA1">
      <w:pPr>
        <w:pStyle w:val="ListParagraph"/>
        <w:numPr>
          <w:ilvl w:val="0"/>
          <w:numId w:val="16"/>
        </w:num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Ir-Regolament (UE) 910/2014 dwar l-identifikazzjoni elettronika u s-servizzi fiduċjarji għal transazzjonijiet elettroniċi fis-suq intern (ir-Regolament eIDAS)</w:t>
      </w:r>
      <w:r>
        <w:rPr>
          <w:rStyle w:val="FootnoteReference"/>
          <w:rFonts w:ascii="Times New Roman" w:hAnsi="Times New Roman"/>
        </w:rPr>
        <w:footnoteReference w:id="50"/>
      </w:r>
      <w:r>
        <w:rPr>
          <w:rFonts w:ascii="Times New Roman" w:hAnsi="Times New Roman"/>
        </w:rPr>
        <w:t>.</w:t>
      </w:r>
    </w:p>
    <w:p w14:paraId="6D1D5A56" w14:textId="59F8029F" w:rsidR="00D61AA1" w:rsidRPr="00E26488" w:rsidRDefault="00573DFA" w:rsidP="00D61AA1">
      <w:p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L-Artikolu 19(2) tar-Regolament eIDAS jeħtieġ li l-fornituri ta’ servizzi ta’ trust jinnotifikaw lill-korp superviżorju tagħhom dwar ksur tas-sigurtà jew telf tal-integrità li jkollu impatt sinifikanti fuq is-servizz ta’ trust ipprovdut jew fuq id-</w:t>
      </w:r>
      <w:r w:rsidR="00BD591B" w:rsidRPr="00BD591B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personali miżmuma fih. Fejn applikabbli—jiġifieri fejn it-tali ksur jew telf ikun ukoll ksur ta’ </w:t>
      </w:r>
      <w:r w:rsidR="00BD591B" w:rsidRPr="00BD591B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personali skont il-GDPR —il-fornitur ta’ servizzi ta’ trust għandu jinnotifika lill-awtorità superviżorja wkoll.</w:t>
      </w:r>
    </w:p>
    <w:p w14:paraId="1A1F765A" w14:textId="4128DD19" w:rsidR="00D61AA1" w:rsidRDefault="00D61AA1" w:rsidP="00D61AA1">
      <w:pPr>
        <w:pStyle w:val="ListParagraph"/>
        <w:numPr>
          <w:ilvl w:val="0"/>
          <w:numId w:val="16"/>
        </w:num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Id-Direttiva (UE) 2016/1148 dwar miżuri għal livell għoli komuni ta’ sigurtà tan-netwerks u tas-sistemi tal-informazzjoni madwar l-Unjoni (id-Direttiva NIS)</w:t>
      </w:r>
      <w:r>
        <w:rPr>
          <w:rStyle w:val="FootnoteReference"/>
          <w:rFonts w:ascii="Times New Roman" w:hAnsi="Times New Roman"/>
        </w:rPr>
        <w:footnoteReference w:id="51"/>
      </w:r>
      <w:r>
        <w:rPr>
          <w:rFonts w:ascii="Times New Roman" w:hAnsi="Times New Roman"/>
        </w:rPr>
        <w:t>.</w:t>
      </w:r>
    </w:p>
    <w:p w14:paraId="440C1DC2" w14:textId="411DA851" w:rsidR="00D61AA1" w:rsidRPr="0043418D" w:rsidRDefault="00573DFA" w:rsidP="00826247">
      <w:p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L-Artikoli 14 u 16 tad-Direttiva NIS jeħtieġu li l-operaturi ta’ servizzi essenzjali u l-fornituri ta’ servizzi diġitali jinnotifikaw l-inċidenti tas-sigurtà lill-awtorità kompetenti tagħhom.</w:t>
      </w:r>
      <w:r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</w:rPr>
        <w:t>Kif rikonoxxuti mill-Premessa 63 tal-NIS</w:t>
      </w:r>
      <w:r>
        <w:rPr>
          <w:rStyle w:val="FootnoteReference"/>
          <w:rFonts w:ascii="Times New Roman" w:hAnsi="Times New Roman"/>
        </w:rPr>
        <w:footnoteReference w:id="52"/>
      </w:r>
      <w:r>
        <w:rPr>
          <w:rFonts w:ascii="Times New Roman" w:hAnsi="Times New Roman"/>
        </w:rPr>
        <w:t xml:space="preserve">, l-inċidenti tas-sigurtà spiss jaf ikunu jinkludu kompromess ta’ </w:t>
      </w:r>
      <w:r w:rsidR="00BD591B" w:rsidRPr="00BD591B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personali.</w:t>
      </w:r>
      <w:r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</w:rPr>
        <w:t xml:space="preserve">Filwaqt li l-NIS teħtieġ li l-awtoritajiet kompetenti u l-awtoritajiet superviżorji jikkooperaw u jiskambjaw informazzjoni f’dak il-kuntest, jibqa’ l-każ li meta t-tali inċidenti jkunu, jew isiru, ksur ta’ </w:t>
      </w:r>
      <w:r w:rsidR="00BD591B" w:rsidRPr="00BD591B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personali skont il-GDPR, dawk l-operaturi u/jew il-fornituri jkunu meħtieġa jinnotifikaw lill-awtorità superviżorja b’mod separat mir-rekwiżiti ta’ notifika tal-inċidenti tal-NIS. </w:t>
      </w:r>
    </w:p>
    <w:p w14:paraId="1FDE64C2" w14:textId="77777777" w:rsidR="00D61AA1" w:rsidRPr="00145DC7" w:rsidRDefault="00D61AA1" w:rsidP="00D61AA1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spacing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Eżempju</w:t>
      </w:r>
    </w:p>
    <w:p w14:paraId="31CC32AE" w14:textId="3C09DA6D" w:rsidR="00D61AA1" w:rsidRPr="00145DC7" w:rsidRDefault="00D61AA1" w:rsidP="00826247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Fornitur ta’ servizzi tal-cloud li jinnotifika ksur skont id-Direttiva NIS jaf ikollu bżonn jinnotifika lil kontrollur ukoll, jekk dan ikun jinkludi ksur ta’ </w:t>
      </w:r>
      <w:r w:rsidR="00BD591B" w:rsidRPr="00BD591B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personali. B’mod simili, fornitur ta’ servizzi ta’ trust li jinnotifika skont l-eIDAS jaf ikun meħtieġa jinnotifika lill-awtorità għall-protezzjoni tad-</w:t>
      </w:r>
      <w:r w:rsidR="00BD591B" w:rsidRPr="00BD591B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rilevanti wkoll fil-każ ta’ ksur.</w:t>
      </w:r>
    </w:p>
    <w:p w14:paraId="01C10CA4" w14:textId="77777777" w:rsidR="00D61AA1" w:rsidRDefault="00D61AA1" w:rsidP="00D61AA1">
      <w:pPr>
        <w:pStyle w:val="ListParagraph"/>
        <w:numPr>
          <w:ilvl w:val="0"/>
          <w:numId w:val="16"/>
        </w:num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Id-Direttiva 2009/136/KE (id-Direttiva dwar id-Drittijiet taċ-Ċittadini) u r-Regolament 611/2013 (ir-Regolament dwar in-Notifika ta’ Ksur). </w:t>
      </w:r>
    </w:p>
    <w:p w14:paraId="660E915E" w14:textId="6CF6A3CA" w:rsidR="00D61AA1" w:rsidRDefault="00D61AA1" w:rsidP="00D61AA1">
      <w:p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Il-fornituri ta’ servizzi tal-komunikazzjoni elettronika disponibbli pubblikament fi ħdan il-kuntest tad-Direttiva 2002/58/KE</w:t>
      </w:r>
      <w:r>
        <w:rPr>
          <w:rStyle w:val="FootnoteReference"/>
          <w:rFonts w:ascii="Times New Roman" w:hAnsi="Times New Roman"/>
        </w:rPr>
        <w:footnoteReference w:id="53"/>
      </w:r>
      <w:r>
        <w:rPr>
          <w:rFonts w:ascii="Times New Roman" w:hAnsi="Times New Roman"/>
        </w:rPr>
        <w:t xml:space="preserve"> iridu jinnotifikaw il-ksur lill-awtoritajiet nazzjonali kompetenti. </w:t>
      </w:r>
    </w:p>
    <w:p w14:paraId="5DAC07AD" w14:textId="7B64FE7C" w:rsidR="007E2DA1" w:rsidRPr="00C52DD2" w:rsidRDefault="00D466A7" w:rsidP="00C52DD2">
      <w:p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Il-kontrolluri għandhom ikunu konxji wkoll minn kwalunkwe dmir ta’ notifika legali, medika, jew professjonali addizzjonali skont reġimi applikabbli oħra.</w:t>
      </w:r>
      <w:r>
        <w:br w:type="page"/>
      </w:r>
    </w:p>
    <w:p w14:paraId="2BAF6578" w14:textId="5E00A90A" w:rsidR="00D466A7" w:rsidRPr="00D466A7" w:rsidRDefault="00D466A7" w:rsidP="00DF1BD8">
      <w:pPr>
        <w:pStyle w:val="Heading1"/>
        <w:numPr>
          <w:ilvl w:val="0"/>
          <w:numId w:val="0"/>
        </w:numPr>
        <w:rPr>
          <w:b w:val="0"/>
        </w:rPr>
      </w:pPr>
    </w:p>
    <w:p w14:paraId="02D47C79" w14:textId="5057497A" w:rsidR="00B5555D" w:rsidRDefault="00B5555D" w:rsidP="00B5555D">
      <w:pPr>
        <w:pStyle w:val="Heading1"/>
      </w:pPr>
      <w:bookmarkStart w:id="39" w:name="_Toc504382255"/>
      <w:r>
        <w:t>Anness</w:t>
      </w:r>
      <w:bookmarkEnd w:id="39"/>
    </w:p>
    <w:p w14:paraId="2CB7D333" w14:textId="0971D43B" w:rsidR="00FD69DD" w:rsidRPr="00B5555D" w:rsidRDefault="00FC1621" w:rsidP="00B5555D">
      <w:pPr>
        <w:pStyle w:val="Heading2"/>
        <w:rPr>
          <w:u w:val="none"/>
        </w:rPr>
      </w:pPr>
      <w:bookmarkStart w:id="40" w:name="_Toc504382256"/>
      <w:r>
        <w:rPr>
          <w:noProof/>
          <w:u w:val="none"/>
          <w:lang w:val="en-GB" w:eastAsia="en-GB" w:bidi="ar-SA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6EE7926E" wp14:editId="301EF785">
                <wp:simplePos x="0" y="0"/>
                <wp:positionH relativeFrom="column">
                  <wp:posOffset>-138223</wp:posOffset>
                </wp:positionH>
                <wp:positionV relativeFrom="paragraph">
                  <wp:posOffset>319774</wp:posOffset>
                </wp:positionV>
                <wp:extent cx="5835886" cy="7813084"/>
                <wp:effectExtent l="0" t="0" r="12700" b="16510"/>
                <wp:wrapNone/>
                <wp:docPr id="6" name="Grou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35886" cy="7813084"/>
                          <a:chOff x="0" y="0"/>
                          <a:chExt cx="5835886" cy="7813084"/>
                        </a:xfrm>
                      </wpg:grpSpPr>
                      <wps:wsp>
                        <wps:cNvPr id="300" name="Straight Arrow Connector 300"/>
                        <wps:cNvCnPr/>
                        <wps:spPr>
                          <a:xfrm flipH="1">
                            <a:off x="2105246" y="839972"/>
                            <a:ext cx="1038225" cy="43815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02018" y="3274828"/>
                            <a:ext cx="2552700" cy="1400175"/>
                          </a:xfrm>
                          <a:prstGeom prst="flowChartDecision">
                            <a:avLst/>
                          </a:prstGeom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1">
                            <a:schemeClr val="l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8A5D451" w14:textId="77777777" w:rsidR="00154258" w:rsidRPr="00EB7637" w:rsidRDefault="00154258" w:rsidP="005F14A4">
                              <w:pPr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18"/>
                                </w:rPr>
                                <w:t>Hu probabbli li l-ksur jirriżulta f’riskju għoli għad-drittijiet u għal-libertajiet tal-individwi?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  <wps:wsp>
                        <wps:cNvPr id="30" name="Straight Arrow Connector 30"/>
                        <wps:cNvCnPr/>
                        <wps:spPr>
                          <a:xfrm flipH="1">
                            <a:off x="1201479" y="2977116"/>
                            <a:ext cx="1" cy="382947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" name="Straight Arrow Connector 31"/>
                        <wps:cNvCnPr/>
                        <wps:spPr>
                          <a:xfrm>
                            <a:off x="999460" y="2158409"/>
                            <a:ext cx="0" cy="319373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8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1265"/>
                            <a:ext cx="2762250" cy="809625"/>
                          </a:xfrm>
                          <a:prstGeom prst="ellipse">
                            <a:avLst/>
                          </a:prstGeom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1">
                            <a:schemeClr val="l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CCF15F3" w14:textId="2FB6C575" w:rsidR="00154258" w:rsidRPr="00EB7637" w:rsidRDefault="00154258" w:rsidP="00EB7637">
                              <w:pPr>
                                <w:rPr>
                                  <w:rFonts w:ascii="Times New Roman" w:hAnsi="Times New Roman"/>
                                  <w:sz w:val="18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18"/>
                                </w:rPr>
                                <w:t xml:space="preserve">Il-kontrollur jidentifika/isir konxju ta’ inċident tas-sigurtà u jistabbilixxi jekk seħħx ksur ta’ </w:t>
                              </w:r>
                              <w:r w:rsidR="00BD591B" w:rsidRPr="00BD591B">
                                <w:rPr>
                                  <w:rFonts w:ascii="Times New Roman" w:hAnsi="Times New Roman"/>
                                  <w:i/>
                                  <w:sz w:val="18"/>
                                </w:rPr>
                                <w:t>data</w:t>
                              </w:r>
                              <w:r>
                                <w:rPr>
                                  <w:rFonts w:ascii="Times New Roman" w:hAnsi="Times New Roman"/>
                                  <w:sz w:val="18"/>
                                </w:rPr>
                                <w:t xml:space="preserve"> personali.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  <wps:wsp>
                        <wps:cNvPr id="289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318976" y="956930"/>
                            <a:ext cx="2200275" cy="1438275"/>
                          </a:xfrm>
                          <a:prstGeom prst="flowChartDecision">
                            <a:avLst/>
                          </a:prstGeom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1">
                            <a:schemeClr val="l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F89BBAE" w14:textId="5620FE11" w:rsidR="00154258" w:rsidRPr="00EB7637" w:rsidRDefault="00154258" w:rsidP="005F14A4">
                              <w:pPr>
                                <w:rPr>
                                  <w:rFonts w:ascii="Times New Roman" w:hAnsi="Times New Roman"/>
                                  <w:sz w:val="2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18"/>
                                </w:rPr>
                                <w:t>Il-ksur għandu probabbiltà li jirriżulta f’riskju għad-drittijiet tal-individwi? u għal-libertajiet tagħhom?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  <wps:wsp>
                        <wps:cNvPr id="290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701749" y="5178056"/>
                            <a:ext cx="642620" cy="285750"/>
                          </a:xfrm>
                          <a:prstGeom prst="rect">
                            <a:avLst/>
                          </a:prstGeom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1">
                            <a:schemeClr val="l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1F1E916" w14:textId="77777777" w:rsidR="00154258" w:rsidRPr="00EB7637" w:rsidRDefault="00154258" w:rsidP="005F14A4">
                              <w:pPr>
                                <w:jc w:val="center"/>
                                <w:rPr>
                                  <w:rFonts w:ascii="Times New Roman" w:hAnsi="Times New Roman"/>
                                  <w:sz w:val="18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18"/>
                                </w:rPr>
                                <w:t>Iva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  <wps:wsp>
                        <wps:cNvPr id="291" name="Text Box 291"/>
                        <wps:cNvSpPr txBox="1"/>
                        <wps:spPr>
                          <a:xfrm>
                            <a:off x="1658679" y="5178056"/>
                            <a:ext cx="652780" cy="285750"/>
                          </a:xfrm>
                          <a:prstGeom prst="rect">
                            <a:avLst/>
                          </a:prstGeom>
                          <a:ln/>
                        </wps:spPr>
                        <wps:style>
                          <a:lnRef idx="2">
                            <a:schemeClr val="accent1"/>
                          </a:lnRef>
                          <a:fillRef idx="1">
                            <a:schemeClr val="l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887D9E4" w14:textId="77777777" w:rsidR="00154258" w:rsidRPr="00EB7637" w:rsidRDefault="00154258" w:rsidP="005F14A4">
                              <w:pPr>
                                <w:jc w:val="center"/>
                                <w:rPr>
                                  <w:rFonts w:ascii="Times New Roman" w:hAnsi="Times New Roman"/>
                                  <w:sz w:val="18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18"/>
                                </w:rPr>
                                <w:t>Le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2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3434316" y="1913861"/>
                            <a:ext cx="2401570" cy="485775"/>
                          </a:xfrm>
                          <a:prstGeom prst="rect">
                            <a:avLst/>
                          </a:prstGeom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1">
                            <a:schemeClr val="l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EBEE50F" w14:textId="77777777" w:rsidR="00154258" w:rsidRPr="00EB7637" w:rsidRDefault="00154258" w:rsidP="005F14A4">
                              <w:pPr>
                                <w:rPr>
                                  <w:rFonts w:ascii="Times New Roman" w:hAnsi="Times New Roman"/>
                                  <w:sz w:val="18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18"/>
                                </w:rPr>
                                <w:t>Ebda rekwiżit ta’ notifika lill-awtorità superviżorja jew lill-individwi.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  <wps:wsp>
                        <wps:cNvPr id="294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934586" y="2668772"/>
                            <a:ext cx="2428875" cy="973455"/>
                          </a:xfrm>
                          <a:prstGeom prst="rect">
                            <a:avLst/>
                          </a:prstGeom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1">
                            <a:schemeClr val="l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C663323" w14:textId="77777777" w:rsidR="00154258" w:rsidRPr="00EB7637" w:rsidRDefault="00154258" w:rsidP="005F14A4">
                              <w:pPr>
                                <w:rPr>
                                  <w:rFonts w:ascii="Times New Roman" w:hAnsi="Times New Roman"/>
                                  <w:sz w:val="18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18"/>
                                </w:rPr>
                                <w:t>Notifika lill-awtorità superviżorja kompetenti.</w:t>
                              </w:r>
                            </w:p>
                            <w:p w14:paraId="37C49284" w14:textId="569BF5CA" w:rsidR="00154258" w:rsidRPr="00EB7637" w:rsidRDefault="00154258" w:rsidP="005F14A4">
                              <w:pPr>
                                <w:rPr>
                                  <w:rFonts w:ascii="Times New Roman" w:hAnsi="Times New Roman"/>
                                  <w:sz w:val="18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18"/>
                                </w:rPr>
                                <w:t>Jekk il-ksur jaffettwa lil individwi f’aktar minn Stat Membru wieħed, innotifika lill-awtorità superviżorja prinċipali.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  <wps:wsp>
                        <wps:cNvPr id="295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903767" y="2583712"/>
                            <a:ext cx="552450" cy="295275"/>
                          </a:xfrm>
                          <a:prstGeom prst="rect">
                            <a:avLst/>
                          </a:prstGeom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1">
                            <a:schemeClr val="l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B35B2C4" w14:textId="1192CFDF" w:rsidR="00154258" w:rsidRPr="00EB7637" w:rsidRDefault="00154258" w:rsidP="005F14A4">
                              <w:pPr>
                                <w:jc w:val="center"/>
                                <w:rPr>
                                  <w:rFonts w:ascii="Times New Roman" w:hAnsi="Times New Roman"/>
                                  <w:sz w:val="18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18"/>
                                </w:rPr>
                                <w:t>Iva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  <wps:wsp>
                        <wps:cNvPr id="296" name="Text Box 296"/>
                        <wps:cNvSpPr txBox="1"/>
                        <wps:spPr>
                          <a:xfrm>
                            <a:off x="3051544" y="1329070"/>
                            <a:ext cx="652780" cy="285750"/>
                          </a:xfrm>
                          <a:prstGeom prst="rect">
                            <a:avLst/>
                          </a:prstGeom>
                          <a:ln/>
                        </wps:spPr>
                        <wps:style>
                          <a:lnRef idx="2">
                            <a:schemeClr val="accent1"/>
                          </a:lnRef>
                          <a:fillRef idx="1">
                            <a:schemeClr val="l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617B064" w14:textId="483D5336" w:rsidR="00154258" w:rsidRPr="00EB7637" w:rsidRDefault="00154258" w:rsidP="005F14A4">
                              <w:pPr>
                                <w:jc w:val="center"/>
                                <w:rPr>
                                  <w:rFonts w:ascii="Times New Roman" w:hAnsi="Times New Roman"/>
                                  <w:sz w:val="18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18"/>
                                </w:rPr>
                                <w:t>Le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3264195" y="4784651"/>
                            <a:ext cx="1466850" cy="600075"/>
                          </a:xfrm>
                          <a:prstGeom prst="rect">
                            <a:avLst/>
                          </a:prstGeom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1">
                            <a:schemeClr val="l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5D6C617" w14:textId="77777777" w:rsidR="00154258" w:rsidRPr="00EB7637" w:rsidRDefault="00154258" w:rsidP="005F14A4">
                              <w:pPr>
                                <w:rPr>
                                  <w:rFonts w:ascii="Times New Roman" w:hAnsi="Times New Roman"/>
                                  <w:sz w:val="18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18"/>
                                </w:rPr>
                                <w:t>Ebda rekwiżit ta’ notifika lill-individwi.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  <wps:wsp>
                        <wps:cNvPr id="298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574158" y="6007396"/>
                            <a:ext cx="3345815" cy="742950"/>
                          </a:xfrm>
                          <a:prstGeom prst="rect">
                            <a:avLst/>
                          </a:prstGeom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1">
                            <a:schemeClr val="l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B7A516C" w14:textId="7757D42F" w:rsidR="00154258" w:rsidRPr="00EB7637" w:rsidRDefault="00154258" w:rsidP="005F14A4">
                              <w:pPr>
                                <w:rPr>
                                  <w:rFonts w:ascii="Times New Roman" w:hAnsi="Times New Roman"/>
                                  <w:sz w:val="18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18"/>
                                </w:rPr>
                                <w:t>Innotifika lill-individwi affettwati u, fejn xieraq, ipprovdi informazzjoni dwar il-passi li jistgħu jieħdu biex jipproteġu lilhom infushom mill-konsegwenzi tal-ksur.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  <wps:wsp>
                        <wps:cNvPr id="299" name="Text Box 299"/>
                        <wps:cNvSpPr txBox="1">
                          <a:spLocks noChangeArrowheads="1"/>
                        </wps:cNvSpPr>
                        <wps:spPr bwMode="auto">
                          <a:xfrm>
                            <a:off x="701749" y="7187609"/>
                            <a:ext cx="4320540" cy="625475"/>
                          </a:xfrm>
                          <a:prstGeom prst="flowChartTerminator">
                            <a:avLst/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rgbClr val="4F81BD"/>
                            </a:solidFill>
                            <a:prstDash val="solid"/>
                            <a:headEnd/>
                            <a:tailEnd/>
                          </a:ln>
                          <a:effectLst/>
                        </wps:spPr>
                        <wps:txbx>
                          <w:txbxContent>
                            <w:p w14:paraId="2E9279D2" w14:textId="77777777" w:rsidR="00154258" w:rsidRPr="00EB7637" w:rsidRDefault="00154258" w:rsidP="005F14A4">
                              <w:pPr>
                                <w:rPr>
                                  <w:rFonts w:ascii="Times New Roman" w:hAnsi="Times New Roman"/>
                                  <w:sz w:val="18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18"/>
                                </w:rPr>
                                <w:t>Kull ksur hu reġistrabbli skont l-Artikolu 33(5). Ksur għandu jiġi dokumentat u għandu jinżamm rekord tiegħu mill-kontrollur.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  <wps:wsp>
                        <wps:cNvPr id="301" name="Elbow Connector 301"/>
                        <wps:cNvCnPr/>
                        <wps:spPr>
                          <a:xfrm>
                            <a:off x="1552353" y="2743200"/>
                            <a:ext cx="1267460" cy="825500"/>
                          </a:xfrm>
                          <a:prstGeom prst="bentConnector3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2" name="Straight Arrow Connector 302"/>
                        <wps:cNvCnPr/>
                        <wps:spPr>
                          <a:xfrm>
                            <a:off x="2519916" y="1509823"/>
                            <a:ext cx="436880" cy="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3" name="Straight Arrow Connector 303"/>
                        <wps:cNvCnPr/>
                        <wps:spPr>
                          <a:xfrm>
                            <a:off x="1010093" y="4582633"/>
                            <a:ext cx="0" cy="39624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4" name="Straight Arrow Connector 304"/>
                        <wps:cNvCnPr/>
                        <wps:spPr>
                          <a:xfrm>
                            <a:off x="1945758" y="4582633"/>
                            <a:ext cx="0" cy="41783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5" name="Straight Arrow Connector 305"/>
                        <wps:cNvCnPr/>
                        <wps:spPr>
                          <a:xfrm>
                            <a:off x="2456121" y="5316279"/>
                            <a:ext cx="661670" cy="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7" name="Straight Arrow Connector 307"/>
                        <wps:cNvCnPr/>
                        <wps:spPr>
                          <a:xfrm flipH="1">
                            <a:off x="1041990" y="5550196"/>
                            <a:ext cx="0" cy="324485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30" name="Straight Arrow Connector 330"/>
                        <wps:cNvCnPr/>
                        <wps:spPr>
                          <a:xfrm>
                            <a:off x="2711302" y="6879265"/>
                            <a:ext cx="0" cy="208915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31" name="Straight Arrow Connector 331"/>
                        <wps:cNvCnPr/>
                        <wps:spPr>
                          <a:xfrm>
                            <a:off x="4104167" y="5465135"/>
                            <a:ext cx="10795" cy="1641475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32" name="Straight Arrow Connector 332"/>
                        <wps:cNvCnPr/>
                        <wps:spPr>
                          <a:xfrm flipH="1">
                            <a:off x="4582632" y="3710763"/>
                            <a:ext cx="647066" cy="338074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33" name="Straight Arrow Connector 333"/>
                        <wps:cNvCnPr/>
                        <wps:spPr>
                          <a:xfrm flipH="1">
                            <a:off x="4837814" y="2477386"/>
                            <a:ext cx="838836" cy="470535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34" name="Elbow Connector 334"/>
                        <wps:cNvCnPr/>
                        <wps:spPr>
                          <a:xfrm rot="16200000" flipH="1">
                            <a:off x="3747976" y="1440712"/>
                            <a:ext cx="407035" cy="347345"/>
                          </a:xfrm>
                          <a:prstGeom prst="bentConnector3">
                            <a:avLst>
                              <a:gd name="adj1" fmla="val 6698"/>
                            </a:avLst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" name="Rectangle 2"/>
                        <wps:cNvSpPr/>
                        <wps:spPr>
                          <a:xfrm>
                            <a:off x="3317358" y="0"/>
                            <a:ext cx="1971040" cy="83820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accent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8CF19F0" w14:textId="59817E8D" w:rsidR="00154258" w:rsidRPr="00EB7637" w:rsidRDefault="00154258" w:rsidP="00EB7637">
                              <w:pPr>
                                <w:spacing w:line="240" w:lineRule="auto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18"/>
                                </w:rPr>
                                <w:t xml:space="preserve">Il-kontrollur isir “konxju” ta’ ksur ta’ </w:t>
                              </w:r>
                              <w:r w:rsidR="00BD591B" w:rsidRPr="00BD591B">
                                <w:rPr>
                                  <w:rFonts w:ascii="Times New Roman" w:hAnsi="Times New Roman"/>
                                  <w:i/>
                                  <w:sz w:val="18"/>
                                </w:rPr>
                                <w:t>data</w:t>
                              </w:r>
                              <w:r>
                                <w:rPr>
                                  <w:rFonts w:ascii="Times New Roman" w:hAnsi="Times New Roman"/>
                                  <w:sz w:val="18"/>
                                </w:rPr>
                                <w:t xml:space="preserve"> personali u jivvaluta r-riskju għall-individwi.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Straight Arrow Connector 4"/>
                        <wps:cNvCnPr/>
                        <wps:spPr>
                          <a:xfrm>
                            <a:off x="2892056" y="372140"/>
                            <a:ext cx="372745" cy="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EE7926E" id="Group 6" o:spid="_x0000_s1026" style="position:absolute;left:0;text-align:left;margin-left:-10.9pt;margin-top:25.2pt;width:459.5pt;height:615.2pt;z-index:251658240" coordsize="58358,781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300" o:spid="_x0000_s1027" type="#_x0000_t32" style="position:absolute;left:21052;top:8399;width:10382;height:4382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" strokecolor="#4579b8 [3044]">
                  <v:stroke endarrow="open"/>
                </v:shape>
                <v:shapetype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Text Box 2" o:spid="_x0000_s1028" type="#_x0000_t110" style="position:absolute;left:2020;top:32748;width:25527;height:140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" fillcolor="white [3201]" strokecolor="#4f81bd [3204]" strokeweight="2pt">
                  <v:textbox>
                    <w:txbxContent>
                      <w:p w14:paraId="48A5D451" w14:textId="77777777" w:rsidR="00154258" w:rsidRPr="00EB7637" w:rsidRDefault="00154258" w:rsidP="005F14A4">
                        <w:pP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</w:rPr>
                          <w:t>Hu probabbli li l-ksur jirriżulta f’riskju għoli għad-drittijiet u għal-libertajiet tal-individwi?</w:t>
                        </w:r>
                      </w:p>
                    </w:txbxContent>
                  </v:textbox>
                </v:shape>
                <v:shape id="Straight Arrow Connector 30" o:spid="_x0000_s1029" type="#_x0000_t32" style="position:absolute;left:12014;top:29771;width:0;height:3829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" strokecolor="#4579b8 [3044]">
                  <v:stroke endarrow="open"/>
                </v:shape>
                <v:shape id="Straight Arrow Connector 31" o:spid="_x0000_s1030" type="#_x0000_t32" style="position:absolute;left:9994;top:21584;width:0;height:319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" strokecolor="#4579b8 [3044]">
                  <v:stroke endarrow="open"/>
                </v:shape>
                <v:oval id="Text Box 2" o:spid="_x0000_s1031" style="position:absolute;top:212;width:27622;height:80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" fillcolor="white [3201]" strokecolor="#4f81bd [3204]" strokeweight="2pt">
                  <v:textbox>
                    <w:txbxContent>
                      <w:p w14:paraId="1CCF15F3" w14:textId="2FB6C575" w:rsidR="00154258" w:rsidRPr="00EB7637" w:rsidRDefault="00154258" w:rsidP="00EB7637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</w:rPr>
                          <w:t xml:space="preserve">Il-kontrollur jidentifika/isir konxju ta’ inċident tas-sigurtà u jistabbilixxi jekk seħħx ksur ta’ </w:t>
                        </w:r>
                        <w:r w:rsidR="00BD591B" w:rsidRPr="00BD591B">
                          <w:rPr>
                            <w:rFonts w:ascii="Times New Roman" w:hAnsi="Times New Roman"/>
                            <w:i/>
                            <w:sz w:val="18"/>
                          </w:rPr>
                          <w:t>data</w:t>
                        </w:r>
                        <w:r>
                          <w:rPr>
                            <w:rFonts w:ascii="Times New Roman" w:hAnsi="Times New Roman"/>
                            <w:sz w:val="18"/>
                          </w:rPr>
                          <w:t xml:space="preserve"> personali.</w:t>
                        </w:r>
                      </w:p>
                    </w:txbxContent>
                  </v:textbox>
                </v:oval>
                <v:shape id="Text Box 2" o:spid="_x0000_s1032" type="#_x0000_t110" style="position:absolute;left:3189;top:9569;width:22003;height:143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" fillcolor="white [3201]" strokecolor="#4f81bd [3204]" strokeweight="2pt">
                  <v:textbox>
                    <w:txbxContent>
                      <w:p w14:paraId="4F89BBAE" w14:textId="5620FE11" w:rsidR="00154258" w:rsidRPr="00EB7637" w:rsidRDefault="00154258" w:rsidP="005F14A4">
                        <w:pPr>
                          <w:rPr>
                            <w:rFonts w:ascii="Times New Roman" w:hAnsi="Times New Roman"/>
                            <w:sz w:val="20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</w:rPr>
                          <w:t>Il-ksur għandu probabbiltà li jirriżulta f’riskju għad-drittijiet tal-individwi? u għal-libertajiet tagħhom?</w:t>
                        </w:r>
                      </w:p>
                    </w:txbxContent>
                  </v:textbox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33" type="#_x0000_t202" style="position:absolute;left:7017;top:51780;width:6426;height:28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" fillcolor="white [3201]" strokecolor="#4f81bd [3204]" strokeweight="2pt">
                  <v:textbox>
                    <w:txbxContent>
                      <w:p w14:paraId="71F1E916" w14:textId="77777777" w:rsidR="00154258" w:rsidRPr="00EB7637" w:rsidRDefault="00154258" w:rsidP="005F14A4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</w:rPr>
                          <w:t>Iva</w:t>
                        </w:r>
                      </w:p>
                    </w:txbxContent>
                  </v:textbox>
                </v:shape>
                <v:shape id="Text Box 291" o:spid="_x0000_s1034" type="#_x0000_t202" style="position:absolute;left:16586;top:51780;width:6528;height:28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" fillcolor="white [3201]" strokecolor="#4f81bd [3204]" strokeweight="2pt">
                  <v:textbox>
                    <w:txbxContent>
                      <w:p w14:paraId="6887D9E4" w14:textId="77777777" w:rsidR="00154258" w:rsidRPr="00EB7637" w:rsidRDefault="00154258" w:rsidP="005F14A4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</w:rPr>
                          <w:t>Le</w:t>
                        </w:r>
                      </w:p>
                    </w:txbxContent>
                  </v:textbox>
                </v:shape>
                <v:shape id="Text Box 2" o:spid="_x0000_s1035" type="#_x0000_t202" style="position:absolute;left:34343;top:19138;width:24015;height:48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" fillcolor="white [3201]" strokecolor="#4f81bd [3204]" strokeweight="2pt">
                  <v:textbox>
                    <w:txbxContent>
                      <w:p w14:paraId="3EBEE50F" w14:textId="77777777" w:rsidR="00154258" w:rsidRPr="00EB7637" w:rsidRDefault="00154258" w:rsidP="005F14A4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</w:rPr>
                          <w:t>Ebda rekwiżit ta’ notifika lill-awtorità superviżorja jew lill-individwi.</w:t>
                        </w:r>
                      </w:p>
                    </w:txbxContent>
                  </v:textbox>
                </v:shape>
                <v:shape id="Text Box 2" o:spid="_x0000_s1036" type="#_x0000_t202" style="position:absolute;left:29345;top:26687;width:24289;height:97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" fillcolor="white [3201]" strokecolor="#4f81bd [3204]" strokeweight="2pt">
                  <v:textbox>
                    <w:txbxContent>
                      <w:p w14:paraId="3C663323" w14:textId="77777777" w:rsidR="00154258" w:rsidRPr="00EB7637" w:rsidRDefault="00154258" w:rsidP="005F14A4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</w:rPr>
                          <w:t>Notifika lill-awtorità superviżorja kompetenti.</w:t>
                        </w:r>
                      </w:p>
                      <w:p w14:paraId="37C49284" w14:textId="569BF5CA" w:rsidR="00154258" w:rsidRPr="00EB7637" w:rsidRDefault="00154258" w:rsidP="005F14A4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</w:rPr>
                          <w:t>Jekk il-ksur jaffettwa lil individwi f’aktar minn Stat Membru wieħed, innotifika lill-awtorità superviżorja prinċipali.</w:t>
                        </w:r>
                      </w:p>
                    </w:txbxContent>
                  </v:textbox>
                </v:shape>
                <v:shape id="Text Box 2" o:spid="_x0000_s1037" type="#_x0000_t202" style="position:absolute;left:9037;top:25837;width:5525;height:29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" fillcolor="white [3201]" strokecolor="#4f81bd [3204]" strokeweight="2pt">
                  <v:textbox>
                    <w:txbxContent>
                      <w:p w14:paraId="0B35B2C4" w14:textId="1192CFDF" w:rsidR="00154258" w:rsidRPr="00EB7637" w:rsidRDefault="00154258" w:rsidP="005F14A4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</w:rPr>
                          <w:t>Iva</w:t>
                        </w:r>
                      </w:p>
                    </w:txbxContent>
                  </v:textbox>
                </v:shape>
                <v:shape id="Text Box 296" o:spid="_x0000_s1038" type="#_x0000_t202" style="position:absolute;left:30515;top:13290;width:6528;height:28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" fillcolor="white [3201]" strokecolor="#4f81bd [3204]" strokeweight="2pt">
                  <v:textbox>
                    <w:txbxContent>
                      <w:p w14:paraId="2617B064" w14:textId="483D5336" w:rsidR="00154258" w:rsidRPr="00EB7637" w:rsidRDefault="00154258" w:rsidP="005F14A4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</w:rPr>
                          <w:t>Le</w:t>
                        </w:r>
                      </w:p>
                    </w:txbxContent>
                  </v:textbox>
                </v:shape>
                <v:shape id="Text Box 2" o:spid="_x0000_s1039" type="#_x0000_t202" style="position:absolute;left:32641;top:47846;width:14669;height:60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" fillcolor="white [3201]" strokecolor="#4f81bd [3204]" strokeweight="2pt">
                  <v:textbox>
                    <w:txbxContent>
                      <w:p w14:paraId="75D6C617" w14:textId="77777777" w:rsidR="00154258" w:rsidRPr="00EB7637" w:rsidRDefault="00154258" w:rsidP="005F14A4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</w:rPr>
                          <w:t>Ebda rekwiżit ta’ notifika lill-individwi.</w:t>
                        </w:r>
                      </w:p>
                    </w:txbxContent>
                  </v:textbox>
                </v:shape>
                <v:shape id="Text Box 2" o:spid="_x0000_s1040" type="#_x0000_t202" style="position:absolute;left:5741;top:60073;width:33458;height:74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" fillcolor="white [3201]" strokecolor="#4f81bd [3204]" strokeweight="2pt">
                  <v:textbox>
                    <w:txbxContent>
                      <w:p w14:paraId="4B7A516C" w14:textId="7757D42F" w:rsidR="00154258" w:rsidRPr="00EB7637" w:rsidRDefault="00154258" w:rsidP="005F14A4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</w:rPr>
                          <w:t>Innotifika lill-individwi affettwati u, fejn xieraq, ipprovdi informazzjoni dwar il-passi li jistgħu jieħdu biex jipproteġu lilhom infushom mill-konsegwenzi tal-ksur.</w:t>
                        </w:r>
                      </w:p>
                    </w:txbxContent>
                  </v:textbox>
                </v:shape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Text Box 299" o:spid="_x0000_s1041" type="#_x0000_t116" style="position:absolute;left:7017;top:71876;width:43205;height:62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" fillcolor="window" strokecolor="#4f81bd" strokeweight="2pt">
                  <v:textbox>
                    <w:txbxContent>
                      <w:p w14:paraId="2E9279D2" w14:textId="77777777" w:rsidR="00154258" w:rsidRPr="00EB7637" w:rsidRDefault="00154258" w:rsidP="005F14A4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</w:rPr>
                          <w:t>Kull ksur hu reġistrabbli skont l-Artikolu 33(5). Ksur għandu jiġi dokumentat u għandu jinżamm rekord tiegħu mill-kontrollur.</w:t>
                        </w:r>
                      </w:p>
                    </w:txbxContent>
                  </v:textbox>
                </v:shape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Elbow Connector 301" o:spid="_x0000_s1042" type="#_x0000_t34" style="position:absolute;left:15523;top:27432;width:12675;height:8255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" strokecolor="#4579b8 [3044]">
                  <v:stroke endarrow="open"/>
                </v:shape>
                <v:shape id="Straight Arrow Connector 302" o:spid="_x0000_s1043" type="#_x0000_t32" style="position:absolute;left:25199;top:15098;width:436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" strokecolor="#4579b8 [3044]">
                  <v:stroke endarrow="open"/>
                </v:shape>
                <v:shape id="Straight Arrow Connector 303" o:spid="_x0000_s1044" type="#_x0000_t32" style="position:absolute;left:10100;top:45826;width:0;height:396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" strokecolor="#4579b8 [3044]">
                  <v:stroke endarrow="open"/>
                </v:shape>
                <v:shape id="Straight Arrow Connector 304" o:spid="_x0000_s1045" type="#_x0000_t32" style="position:absolute;left:19457;top:45826;width:0;height:417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" strokecolor="#4579b8 [3044]">
                  <v:stroke endarrow="open"/>
                </v:shape>
                <v:shape id="Straight Arrow Connector 305" o:spid="_x0000_s1046" type="#_x0000_t32" style="position:absolute;left:24561;top:53162;width:661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" strokecolor="#4579b8 [3044]">
                  <v:stroke endarrow="open"/>
                </v:shape>
                <v:shape id="Straight Arrow Connector 307" o:spid="_x0000_s1047" type="#_x0000_t32" style="position:absolute;left:10419;top:55501;width:0;height:324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" strokecolor="#4579b8 [3044]">
                  <v:stroke endarrow="open"/>
                </v:shape>
                <v:shape id="Straight Arrow Connector 330" o:spid="_x0000_s1048" type="#_x0000_t32" style="position:absolute;left:27113;top:68792;width:0;height:208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" strokecolor="#4579b8 [3044]">
                  <v:stroke endarrow="open"/>
                </v:shape>
                <v:shape id="Straight Arrow Connector 331" o:spid="_x0000_s1049" type="#_x0000_t32" style="position:absolute;left:41041;top:54651;width:108;height:1641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" strokecolor="#4579b8 [3044]">
                  <v:stroke endarrow="open"/>
                </v:shape>
                <v:shape id="Straight Arrow Connector 332" o:spid="_x0000_s1050" type="#_x0000_t32" style="position:absolute;left:45826;top:37107;width:6470;height:33808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" strokecolor="#4579b8 [3044]">
                  <v:stroke endarrow="open"/>
                </v:shape>
                <v:shape id="Straight Arrow Connector 333" o:spid="_x0000_s1051" type="#_x0000_t32" style="position:absolute;left:48378;top:24773;width:8388;height:47054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" strokecolor="#4579b8 [3044]">
                  <v:stroke endarrow="open"/>
                </v:shape>
                <v:shape id="Elbow Connector 334" o:spid="_x0000_s1052" type="#_x0000_t34" style="position:absolute;left:37479;top:14407;width:4071;height:3473;rotation:90;flip:x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" adj="1447" strokecolor="#4579b8 [3044]">
                  <v:stroke endarrow="open"/>
                </v:shape>
                <v:rect id="Rectangle 2" o:spid="_x0000_s1053" style="position:absolute;left:33173;width:19710;height:8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" fillcolor="white [3201]" strokecolor="#4f81bd [3204]" strokeweight="2pt">
                  <v:textbox>
                    <w:txbxContent>
                      <w:p w14:paraId="78CF19F0" w14:textId="59817E8D" w:rsidR="00154258" w:rsidRPr="00EB7637" w:rsidRDefault="00154258" w:rsidP="00EB7637">
                        <w:pPr>
                          <w:spacing w:line="240" w:lineRule="auto"/>
                          <w:rPr>
                            <w:sz w:val="20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</w:rPr>
                          <w:t xml:space="preserve">Il-kontrollur isir “konxju” ta’ ksur ta’ </w:t>
                        </w:r>
                        <w:r w:rsidR="00BD591B" w:rsidRPr="00BD591B">
                          <w:rPr>
                            <w:rFonts w:ascii="Times New Roman" w:hAnsi="Times New Roman"/>
                            <w:i/>
                            <w:sz w:val="18"/>
                          </w:rPr>
                          <w:t>data</w:t>
                        </w:r>
                        <w:r>
                          <w:rPr>
                            <w:rFonts w:ascii="Times New Roman" w:hAnsi="Times New Roman"/>
                            <w:sz w:val="18"/>
                          </w:rPr>
                          <w:t xml:space="preserve"> personali u jivvaluta r-riskju għall-individwi.</w:t>
                        </w:r>
                      </w:p>
                    </w:txbxContent>
                  </v:textbox>
                </v:rect>
                <v:shape id="Straight Arrow Connector 4" o:spid="_x0000_s1054" type="#_x0000_t32" style="position:absolute;left:28920;top:3721;width:372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" strokecolor="#4579b8 [3044]">
                  <v:stroke endarrow="open"/>
                </v:shape>
              </v:group>
            </w:pict>
          </mc:Fallback>
        </mc:AlternateContent>
      </w:r>
      <w:r>
        <w:rPr>
          <w:u w:val="none"/>
        </w:rPr>
        <w:t>Flowchart li turi r-rekwiżiti ta’ notifika</w:t>
      </w:r>
      <w:bookmarkEnd w:id="40"/>
    </w:p>
    <w:p w14:paraId="5FB7C51C" w14:textId="2D1B5DAE" w:rsidR="007E2DA1" w:rsidRDefault="007E2DA1" w:rsidP="007E2DA1">
      <w:pPr>
        <w:pStyle w:val="Heading1"/>
        <w:numPr>
          <w:ilvl w:val="0"/>
          <w:numId w:val="0"/>
        </w:numPr>
      </w:pPr>
      <w:bookmarkStart w:id="41" w:name="_Toc485890532"/>
      <w:bookmarkStart w:id="42" w:name="_Toc485904768"/>
      <w:bookmarkStart w:id="43" w:name="_Toc485905939"/>
      <w:bookmarkStart w:id="44" w:name="_Toc485908816"/>
      <w:bookmarkStart w:id="45" w:name="_Toc483893162"/>
    </w:p>
    <w:p w14:paraId="2811B19E" w14:textId="1A2F8C05" w:rsidR="007E2DA1" w:rsidRPr="007E2DA1" w:rsidRDefault="007E2DA1" w:rsidP="007E2DA1"/>
    <w:bookmarkEnd w:id="41"/>
    <w:bookmarkEnd w:id="42"/>
    <w:bookmarkEnd w:id="43"/>
    <w:bookmarkEnd w:id="44"/>
    <w:p w14:paraId="5989F3AC" w14:textId="2E295ADB" w:rsidR="001D0BED" w:rsidRDefault="001D0BED" w:rsidP="001D0BED">
      <w:pPr>
        <w:pStyle w:val="Heading2"/>
        <w:numPr>
          <w:ilvl w:val="0"/>
          <w:numId w:val="0"/>
        </w:numPr>
      </w:pPr>
    </w:p>
    <w:p w14:paraId="274784F0" w14:textId="49C7F324" w:rsidR="001D0BED" w:rsidRDefault="001D0BED" w:rsidP="001D0BED">
      <w:pPr>
        <w:pStyle w:val="Heading2"/>
        <w:numPr>
          <w:ilvl w:val="0"/>
          <w:numId w:val="0"/>
        </w:numPr>
      </w:pPr>
    </w:p>
    <w:p w14:paraId="7DC3AF5E" w14:textId="3F115E8F" w:rsidR="001D0BED" w:rsidRDefault="001D0BED" w:rsidP="001D0BED">
      <w:pPr>
        <w:pStyle w:val="Heading2"/>
        <w:numPr>
          <w:ilvl w:val="0"/>
          <w:numId w:val="0"/>
        </w:numPr>
      </w:pPr>
    </w:p>
    <w:p w14:paraId="572BB497" w14:textId="67C50B9D" w:rsidR="001D0BED" w:rsidRDefault="001D0BED" w:rsidP="001D0BED">
      <w:pPr>
        <w:pStyle w:val="Heading2"/>
        <w:numPr>
          <w:ilvl w:val="0"/>
          <w:numId w:val="0"/>
        </w:numPr>
      </w:pPr>
    </w:p>
    <w:p w14:paraId="42BBE00B" w14:textId="21D1ADB9" w:rsidR="001D0BED" w:rsidRDefault="001D0BED" w:rsidP="001D0BED">
      <w:pPr>
        <w:pStyle w:val="Heading2"/>
        <w:numPr>
          <w:ilvl w:val="0"/>
          <w:numId w:val="0"/>
        </w:numPr>
      </w:pPr>
    </w:p>
    <w:p w14:paraId="3C8EE202" w14:textId="0746D4E3" w:rsidR="001D0BED" w:rsidRDefault="001D0BED" w:rsidP="001D0BED">
      <w:pPr>
        <w:pStyle w:val="Heading2"/>
        <w:numPr>
          <w:ilvl w:val="0"/>
          <w:numId w:val="0"/>
        </w:numPr>
      </w:pPr>
    </w:p>
    <w:p w14:paraId="508142AA" w14:textId="410EBE56" w:rsidR="001D0BED" w:rsidRDefault="001D0BED" w:rsidP="001D0BED">
      <w:pPr>
        <w:pStyle w:val="Heading2"/>
        <w:numPr>
          <w:ilvl w:val="0"/>
          <w:numId w:val="0"/>
        </w:numPr>
      </w:pPr>
    </w:p>
    <w:p w14:paraId="09E748BB" w14:textId="5C66CDD1" w:rsidR="001D0BED" w:rsidRDefault="001D0BED" w:rsidP="001D0BED">
      <w:pPr>
        <w:pStyle w:val="Heading2"/>
        <w:numPr>
          <w:ilvl w:val="0"/>
          <w:numId w:val="0"/>
        </w:numPr>
      </w:pPr>
    </w:p>
    <w:p w14:paraId="08DDE0AA" w14:textId="5A2791ED" w:rsidR="001D0BED" w:rsidRDefault="001D0BED" w:rsidP="001D0BED">
      <w:pPr>
        <w:pStyle w:val="Heading2"/>
        <w:numPr>
          <w:ilvl w:val="0"/>
          <w:numId w:val="0"/>
        </w:numPr>
      </w:pPr>
    </w:p>
    <w:p w14:paraId="43008C1C" w14:textId="1EBF61AC" w:rsidR="001D0BED" w:rsidRDefault="001D0BED" w:rsidP="001D0BED">
      <w:pPr>
        <w:pStyle w:val="Heading2"/>
        <w:numPr>
          <w:ilvl w:val="0"/>
          <w:numId w:val="0"/>
        </w:numPr>
      </w:pPr>
    </w:p>
    <w:p w14:paraId="070BEA6A" w14:textId="735D94B1" w:rsidR="001D0BED" w:rsidRDefault="001D0BED" w:rsidP="001D0BED">
      <w:pPr>
        <w:pStyle w:val="Heading2"/>
        <w:numPr>
          <w:ilvl w:val="0"/>
          <w:numId w:val="0"/>
        </w:numPr>
      </w:pPr>
    </w:p>
    <w:p w14:paraId="6F2C889F" w14:textId="44BDAF92" w:rsidR="001D0BED" w:rsidRDefault="001D0BED" w:rsidP="001D0BED">
      <w:pPr>
        <w:pStyle w:val="Heading2"/>
        <w:numPr>
          <w:ilvl w:val="0"/>
          <w:numId w:val="0"/>
        </w:numPr>
      </w:pPr>
    </w:p>
    <w:p w14:paraId="1A822ABC" w14:textId="7C200230" w:rsidR="001D0BED" w:rsidRDefault="001D0BED" w:rsidP="001D0BED">
      <w:pPr>
        <w:pStyle w:val="Heading2"/>
        <w:numPr>
          <w:ilvl w:val="0"/>
          <w:numId w:val="0"/>
        </w:numPr>
      </w:pPr>
    </w:p>
    <w:p w14:paraId="0EAE223A" w14:textId="2B48E1C1" w:rsidR="001D0BED" w:rsidRDefault="001D0BED" w:rsidP="001D0BED">
      <w:pPr>
        <w:pStyle w:val="Heading2"/>
        <w:numPr>
          <w:ilvl w:val="0"/>
          <w:numId w:val="0"/>
        </w:numPr>
      </w:pPr>
    </w:p>
    <w:p w14:paraId="4963B9D3" w14:textId="583F4471" w:rsidR="001D0BED" w:rsidRDefault="001D0BED" w:rsidP="001D0BED">
      <w:pPr>
        <w:pStyle w:val="Heading2"/>
        <w:numPr>
          <w:ilvl w:val="0"/>
          <w:numId w:val="0"/>
        </w:numPr>
      </w:pPr>
    </w:p>
    <w:p w14:paraId="11DCBAAF" w14:textId="014CED86" w:rsidR="001D0BED" w:rsidRDefault="001D0BED" w:rsidP="001D0BED">
      <w:pPr>
        <w:pStyle w:val="Heading2"/>
        <w:numPr>
          <w:ilvl w:val="0"/>
          <w:numId w:val="0"/>
        </w:numPr>
      </w:pPr>
    </w:p>
    <w:p w14:paraId="5BF275AF" w14:textId="300F413F" w:rsidR="001D0BED" w:rsidRDefault="001D0BED" w:rsidP="001D0BED">
      <w:pPr>
        <w:pStyle w:val="Heading2"/>
        <w:numPr>
          <w:ilvl w:val="0"/>
          <w:numId w:val="0"/>
        </w:numPr>
      </w:pPr>
    </w:p>
    <w:p w14:paraId="7F99978F" w14:textId="5222AA83" w:rsidR="001D0BED" w:rsidRDefault="001D0BED" w:rsidP="001D0BED">
      <w:pPr>
        <w:pStyle w:val="Heading2"/>
        <w:numPr>
          <w:ilvl w:val="0"/>
          <w:numId w:val="0"/>
        </w:numPr>
      </w:pPr>
    </w:p>
    <w:p w14:paraId="425832C0" w14:textId="6F9919D3" w:rsidR="001D0BED" w:rsidRDefault="001D0BED" w:rsidP="001D0BED">
      <w:pPr>
        <w:pStyle w:val="Heading2"/>
        <w:numPr>
          <w:ilvl w:val="0"/>
          <w:numId w:val="0"/>
        </w:numPr>
      </w:pPr>
    </w:p>
    <w:p w14:paraId="4C9FB582" w14:textId="0D845E51" w:rsidR="001D0BED" w:rsidRDefault="001D0BED" w:rsidP="001D0BED">
      <w:pPr>
        <w:pStyle w:val="Heading2"/>
        <w:numPr>
          <w:ilvl w:val="0"/>
          <w:numId w:val="0"/>
        </w:numPr>
      </w:pPr>
    </w:p>
    <w:p w14:paraId="30F51E78" w14:textId="6CD14C55" w:rsidR="001D0BED" w:rsidRDefault="001D0BED" w:rsidP="001D0BED">
      <w:pPr>
        <w:pStyle w:val="Heading2"/>
        <w:numPr>
          <w:ilvl w:val="0"/>
          <w:numId w:val="0"/>
        </w:numPr>
      </w:pPr>
    </w:p>
    <w:p w14:paraId="3C571568" w14:textId="77777777" w:rsidR="00427E9E" w:rsidRPr="00427E9E" w:rsidRDefault="00427E9E" w:rsidP="00427E9E"/>
    <w:p w14:paraId="712F4C89" w14:textId="6C3CE7B0" w:rsidR="00AD4235" w:rsidRPr="00B5555D" w:rsidRDefault="00E6163A" w:rsidP="001D0BED">
      <w:pPr>
        <w:pStyle w:val="Heading2"/>
        <w:numPr>
          <w:ilvl w:val="0"/>
          <w:numId w:val="30"/>
        </w:numPr>
        <w:rPr>
          <w:u w:val="none"/>
        </w:rPr>
      </w:pPr>
      <w:bookmarkStart w:id="46" w:name="_Toc504382257"/>
      <w:r>
        <w:rPr>
          <w:u w:val="none"/>
        </w:rPr>
        <w:lastRenderedPageBreak/>
        <w:t xml:space="preserve">Eżempji </w:t>
      </w:r>
      <w:bookmarkEnd w:id="45"/>
      <w:r>
        <w:rPr>
          <w:u w:val="none"/>
        </w:rPr>
        <w:t xml:space="preserve">ta’ ksur ta’ </w:t>
      </w:r>
      <w:r w:rsidR="00BD591B" w:rsidRPr="00BD591B">
        <w:rPr>
          <w:i/>
          <w:u w:val="none"/>
        </w:rPr>
        <w:t>data</w:t>
      </w:r>
      <w:r>
        <w:rPr>
          <w:u w:val="none"/>
        </w:rPr>
        <w:t xml:space="preserve"> personali u lil min għandu jiġi notifikat</w:t>
      </w:r>
      <w:bookmarkEnd w:id="46"/>
      <w:r>
        <w:rPr>
          <w:u w:val="none"/>
        </w:rPr>
        <w:t xml:space="preserve"> </w:t>
      </w:r>
      <w:bookmarkStart w:id="47" w:name="_Toc468695865"/>
      <w:bookmarkStart w:id="48" w:name="_Toc482707670"/>
    </w:p>
    <w:p w14:paraId="3E9827A5" w14:textId="77777777" w:rsidR="00B5555D" w:rsidRPr="00B5555D" w:rsidRDefault="00B5555D" w:rsidP="00B5555D">
      <w:pPr>
        <w:spacing w:after="0" w:line="240" w:lineRule="auto"/>
      </w:pPr>
    </w:p>
    <w:p w14:paraId="6E35B2CA" w14:textId="17A407CD" w:rsidR="00DE2889" w:rsidRPr="00AF2F97" w:rsidRDefault="003F194A" w:rsidP="00DE2889">
      <w:p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L-eżempji mhux eżawrjenti li ġejjin se jgħinu lill-kontrolluri biex jiddeterminaw jekk għandhomx bżonn jinnotifikaw f’xenarji differenti ta’ ksur ta’ </w:t>
      </w:r>
      <w:r w:rsidR="00BD591B" w:rsidRPr="00BD591B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personali. Dawn l-eżempji jistgħu jgħinu wkoll biex issir distinzjoni bejn riskju u riskju għoli għad-drittijiet u għal-libertajiet tal-individwi.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2"/>
        <w:gridCol w:w="2158"/>
        <w:gridCol w:w="2063"/>
        <w:gridCol w:w="2759"/>
      </w:tblGrid>
      <w:tr w:rsidR="003841FA" w14:paraId="113EA322" w14:textId="77777777" w:rsidTr="0001213C">
        <w:tc>
          <w:tcPr>
            <w:tcW w:w="2283" w:type="dxa"/>
            <w:shd w:val="clear" w:color="auto" w:fill="D9D9D9" w:themeFill="background1" w:themeFillShade="D9"/>
            <w:vAlign w:val="center"/>
          </w:tcPr>
          <w:p w14:paraId="1D18E506" w14:textId="77777777" w:rsidR="003841FA" w:rsidRPr="004F00B0" w:rsidRDefault="003841FA" w:rsidP="007E5830">
            <w:pPr>
              <w:spacing w:line="240" w:lineRule="auto"/>
              <w:rPr>
                <w:rFonts w:ascii="Times New Roman" w:hAnsi="Times New Roman"/>
                <w:b/>
                <w:highlight w:val="lightGray"/>
              </w:rPr>
            </w:pPr>
            <w:r>
              <w:rPr>
                <w:rFonts w:ascii="Times New Roman" w:hAnsi="Times New Roman"/>
                <w:b/>
                <w:highlight w:val="lightGray"/>
              </w:rPr>
              <w:t>Eżempju</w:t>
            </w:r>
          </w:p>
        </w:tc>
        <w:tc>
          <w:tcPr>
            <w:tcW w:w="2282" w:type="dxa"/>
            <w:shd w:val="clear" w:color="auto" w:fill="D9D9D9" w:themeFill="background1" w:themeFillShade="D9"/>
            <w:vAlign w:val="center"/>
          </w:tcPr>
          <w:p w14:paraId="5F16D166" w14:textId="3A7C11F1" w:rsidR="003841FA" w:rsidRPr="004F00B0" w:rsidRDefault="003841FA" w:rsidP="007E5830">
            <w:pPr>
              <w:spacing w:line="240" w:lineRule="auto"/>
              <w:rPr>
                <w:rFonts w:ascii="Times New Roman" w:hAnsi="Times New Roman"/>
                <w:b/>
                <w:highlight w:val="lightGray"/>
              </w:rPr>
            </w:pPr>
            <w:r>
              <w:rPr>
                <w:rFonts w:ascii="Times New Roman" w:hAnsi="Times New Roman"/>
                <w:b/>
                <w:highlight w:val="lightGray"/>
              </w:rPr>
              <w:t>Tinnotifika lill-awtorità superviżorja?</w:t>
            </w:r>
          </w:p>
        </w:tc>
        <w:tc>
          <w:tcPr>
            <w:tcW w:w="2206" w:type="dxa"/>
            <w:shd w:val="clear" w:color="auto" w:fill="D9D9D9" w:themeFill="background1" w:themeFillShade="D9"/>
            <w:vAlign w:val="center"/>
          </w:tcPr>
          <w:p w14:paraId="096C1511" w14:textId="510974B4" w:rsidR="003841FA" w:rsidRPr="004F00B0" w:rsidRDefault="003841FA" w:rsidP="007E5830">
            <w:pPr>
              <w:spacing w:line="240" w:lineRule="auto"/>
              <w:rPr>
                <w:rFonts w:ascii="Times New Roman" w:hAnsi="Times New Roman"/>
                <w:b/>
                <w:highlight w:val="lightGray"/>
              </w:rPr>
            </w:pPr>
            <w:r>
              <w:rPr>
                <w:rFonts w:ascii="Times New Roman" w:hAnsi="Times New Roman"/>
                <w:b/>
                <w:highlight w:val="lightGray"/>
              </w:rPr>
              <w:t>Tinnotifika lis-suġġett tad-</w:t>
            </w:r>
            <w:r w:rsidR="00BD591B" w:rsidRPr="00BD591B">
              <w:rPr>
                <w:rFonts w:ascii="Times New Roman" w:hAnsi="Times New Roman"/>
                <w:b/>
                <w:i/>
                <w:highlight w:val="lightGray"/>
              </w:rPr>
              <w:t>data</w:t>
            </w:r>
            <w:r>
              <w:rPr>
                <w:rFonts w:ascii="Times New Roman" w:hAnsi="Times New Roman"/>
                <w:b/>
                <w:highlight w:val="lightGray"/>
              </w:rPr>
              <w:t>?</w:t>
            </w:r>
          </w:p>
        </w:tc>
        <w:tc>
          <w:tcPr>
            <w:tcW w:w="2517" w:type="dxa"/>
            <w:shd w:val="clear" w:color="auto" w:fill="D9D9D9" w:themeFill="background1" w:themeFillShade="D9"/>
            <w:vAlign w:val="center"/>
          </w:tcPr>
          <w:p w14:paraId="1270ECF1" w14:textId="77777777" w:rsidR="003841FA" w:rsidRPr="004F00B0" w:rsidRDefault="00895A1F" w:rsidP="007E5830">
            <w:pPr>
              <w:spacing w:line="240" w:lineRule="auto"/>
              <w:rPr>
                <w:rFonts w:ascii="Times New Roman" w:hAnsi="Times New Roman"/>
                <w:b/>
                <w:highlight w:val="lightGray"/>
              </w:rPr>
            </w:pPr>
            <w:r>
              <w:rPr>
                <w:rFonts w:ascii="Times New Roman" w:hAnsi="Times New Roman"/>
                <w:b/>
                <w:highlight w:val="lightGray"/>
              </w:rPr>
              <w:t>Noti/rakkomandazzjonijiet</w:t>
            </w:r>
          </w:p>
        </w:tc>
      </w:tr>
      <w:tr w:rsidR="003841FA" w14:paraId="5371A1C1" w14:textId="77777777" w:rsidTr="0001213C">
        <w:tc>
          <w:tcPr>
            <w:tcW w:w="2283" w:type="dxa"/>
          </w:tcPr>
          <w:p w14:paraId="2B051111" w14:textId="093A20BF" w:rsidR="003841FA" w:rsidRDefault="00DA61C9" w:rsidP="00E20BC4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i. Kontrollur ħażen kopja ta’ riżerva ta’ arkivju ta’ </w:t>
            </w:r>
            <w:r w:rsidR="00BD591B" w:rsidRPr="00BD591B">
              <w:rPr>
                <w:rFonts w:ascii="Times New Roman" w:hAnsi="Times New Roman"/>
                <w:i/>
              </w:rPr>
              <w:t>data</w:t>
            </w:r>
            <w:r>
              <w:rPr>
                <w:rFonts w:ascii="Times New Roman" w:hAnsi="Times New Roman"/>
              </w:rPr>
              <w:t xml:space="preserve"> personali kriptata fuq USB key. Il-key tinsteraq matul serqa.  </w:t>
            </w:r>
          </w:p>
        </w:tc>
        <w:tc>
          <w:tcPr>
            <w:tcW w:w="2282" w:type="dxa"/>
          </w:tcPr>
          <w:p w14:paraId="7C6C781D" w14:textId="77777777" w:rsidR="003841FA" w:rsidRDefault="00895A1F" w:rsidP="0001213C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Le.</w:t>
            </w:r>
          </w:p>
        </w:tc>
        <w:tc>
          <w:tcPr>
            <w:tcW w:w="2206" w:type="dxa"/>
          </w:tcPr>
          <w:p w14:paraId="6848E08D" w14:textId="77777777" w:rsidR="003841FA" w:rsidRDefault="0001213C" w:rsidP="003841FA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Le.</w:t>
            </w:r>
          </w:p>
        </w:tc>
        <w:tc>
          <w:tcPr>
            <w:tcW w:w="2517" w:type="dxa"/>
          </w:tcPr>
          <w:p w14:paraId="4EDB7057" w14:textId="534D3A3F" w:rsidR="003841FA" w:rsidRDefault="00895A1F" w:rsidP="00621CAC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Dment li d-</w:t>
            </w:r>
            <w:r w:rsidR="00BD591B" w:rsidRPr="00BD591B">
              <w:rPr>
                <w:rFonts w:ascii="Times New Roman" w:hAnsi="Times New Roman"/>
                <w:i/>
              </w:rPr>
              <w:t>data</w:t>
            </w:r>
            <w:r>
              <w:rPr>
                <w:rFonts w:ascii="Times New Roman" w:hAnsi="Times New Roman"/>
              </w:rPr>
              <w:t xml:space="preserve"> tkun kriptata b’algoritmu tal-ogħla livell ta’ żvilupp tekniku, jeżistu kopji ta’ riżerva tad-</w:t>
            </w:r>
            <w:r w:rsidR="00BD591B" w:rsidRPr="00BD591B">
              <w:rPr>
                <w:rFonts w:ascii="Times New Roman" w:hAnsi="Times New Roman"/>
                <w:i/>
              </w:rPr>
              <w:t>data</w:t>
            </w:r>
            <w:r>
              <w:rPr>
                <w:rFonts w:ascii="Times New Roman" w:hAnsi="Times New Roman"/>
              </w:rPr>
              <w:t>, iċ-ċavetta unika mhix kompromessa, u d-</w:t>
            </w:r>
            <w:r w:rsidR="00BD591B" w:rsidRPr="00BD591B">
              <w:rPr>
                <w:rFonts w:ascii="Times New Roman" w:hAnsi="Times New Roman"/>
                <w:i/>
              </w:rPr>
              <w:t>data</w:t>
            </w:r>
            <w:r>
              <w:rPr>
                <w:rFonts w:ascii="Times New Roman" w:hAnsi="Times New Roman"/>
              </w:rPr>
              <w:t xml:space="preserve"> tista’ tiġi restawrata mingħajr wisq dewmien, dan jaf ma jkunx ksur rapportabbli. Madankollu, jekk aktar tard tiġi kompromessa, in-notifika tkun meħtieġa.</w:t>
            </w:r>
          </w:p>
        </w:tc>
      </w:tr>
      <w:tr w:rsidR="003841FA" w14:paraId="339118AD" w14:textId="77777777" w:rsidTr="0001213C">
        <w:tc>
          <w:tcPr>
            <w:tcW w:w="2283" w:type="dxa"/>
          </w:tcPr>
          <w:p w14:paraId="6CBBE499" w14:textId="7313E44E" w:rsidR="00621CAC" w:rsidRDefault="00DA61C9" w:rsidP="00621CAC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ii. Kontrollur iżomm servizz onlajn. Bħala riżultat ta’ ċiberattakk fuq dak is-servizz, id-</w:t>
            </w:r>
            <w:r w:rsidR="00BD591B" w:rsidRPr="00BD591B">
              <w:rPr>
                <w:rFonts w:ascii="Times New Roman" w:hAnsi="Times New Roman"/>
                <w:i/>
              </w:rPr>
              <w:t>data</w:t>
            </w:r>
            <w:r>
              <w:rPr>
                <w:rFonts w:ascii="Times New Roman" w:hAnsi="Times New Roman"/>
              </w:rPr>
              <w:t xml:space="preserve"> personali tal-individwi tiġi esfiltrata. </w:t>
            </w:r>
          </w:p>
          <w:p w14:paraId="49575562" w14:textId="7F3DC18E" w:rsidR="003841FA" w:rsidRDefault="00917CA4" w:rsidP="00621CAC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Il-kontrollur għandu kljienti fi Stat Membru wieħed. </w:t>
            </w:r>
          </w:p>
        </w:tc>
        <w:tc>
          <w:tcPr>
            <w:tcW w:w="2282" w:type="dxa"/>
          </w:tcPr>
          <w:p w14:paraId="36737C80" w14:textId="3F35068C" w:rsidR="003841FA" w:rsidRDefault="00F2401F" w:rsidP="007D6BD7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Iva, irrapporta lill-awtorità superviżorja jekk ikun hemm konsegwenzi probabbli għall-individwi.</w:t>
            </w:r>
          </w:p>
        </w:tc>
        <w:tc>
          <w:tcPr>
            <w:tcW w:w="2206" w:type="dxa"/>
          </w:tcPr>
          <w:p w14:paraId="077C038F" w14:textId="43E64B66" w:rsidR="003841FA" w:rsidRDefault="00F2401F" w:rsidP="003841FA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Iva, irrapporta lill-individwi skont in-natura tad-</w:t>
            </w:r>
            <w:r w:rsidR="00BD591B" w:rsidRPr="00BD591B">
              <w:rPr>
                <w:rFonts w:ascii="Times New Roman" w:hAnsi="Times New Roman"/>
                <w:i/>
              </w:rPr>
              <w:t>data</w:t>
            </w:r>
            <w:r>
              <w:rPr>
                <w:rFonts w:ascii="Times New Roman" w:hAnsi="Times New Roman"/>
              </w:rPr>
              <w:t xml:space="preserve"> personali affettwata u jekk is-severità tal-konsegwenzi probabbli għall-individwi hi għolja.</w:t>
            </w:r>
          </w:p>
        </w:tc>
        <w:tc>
          <w:tcPr>
            <w:tcW w:w="2517" w:type="dxa"/>
          </w:tcPr>
          <w:p w14:paraId="3BA13C3F" w14:textId="08EE099C" w:rsidR="003841FA" w:rsidRDefault="003841FA" w:rsidP="007D6BD7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3841FA" w14:paraId="2E2D62D8" w14:textId="77777777" w:rsidTr="0001213C">
        <w:tc>
          <w:tcPr>
            <w:tcW w:w="2283" w:type="dxa"/>
          </w:tcPr>
          <w:p w14:paraId="606C6BE1" w14:textId="0550994E" w:rsidR="003841FA" w:rsidRDefault="00DA61C9" w:rsidP="00917CA4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iii. Qtugħ tad-dawl qasir li jdum diversi minuti fiċ-ċentru tal-assistenza ta’ kontrollur li jfisser li l-klijenti ma jistgħux iċemplu lill-kontrollur u jaċċessaw ir-rekords tagħhom.  </w:t>
            </w:r>
          </w:p>
        </w:tc>
        <w:tc>
          <w:tcPr>
            <w:tcW w:w="2282" w:type="dxa"/>
          </w:tcPr>
          <w:p w14:paraId="3A737812" w14:textId="026119DB" w:rsidR="003841FA" w:rsidRDefault="007F20B7" w:rsidP="00EB530C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Le. </w:t>
            </w:r>
          </w:p>
        </w:tc>
        <w:tc>
          <w:tcPr>
            <w:tcW w:w="2206" w:type="dxa"/>
          </w:tcPr>
          <w:p w14:paraId="7AD22280" w14:textId="77777777" w:rsidR="003841FA" w:rsidRDefault="0001213C" w:rsidP="003841FA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Le.</w:t>
            </w:r>
          </w:p>
        </w:tc>
        <w:tc>
          <w:tcPr>
            <w:tcW w:w="2517" w:type="dxa"/>
          </w:tcPr>
          <w:p w14:paraId="4E08B742" w14:textId="619D1E25" w:rsidR="007F20B7" w:rsidRDefault="00641499" w:rsidP="007F20B7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Dan mhuwiex ksur notifikabbli, iżda xorta inċident reġistrabbli skont l-Artikolu 33(5). </w:t>
            </w:r>
          </w:p>
          <w:p w14:paraId="6A829224" w14:textId="3F6B3525" w:rsidR="003841FA" w:rsidRDefault="007F20B7" w:rsidP="007F20B7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Il-kontrollur għandu jżomm rekords xierqa.</w:t>
            </w:r>
          </w:p>
        </w:tc>
      </w:tr>
      <w:tr w:rsidR="003841FA" w14:paraId="73C57830" w14:textId="77777777" w:rsidTr="0001213C">
        <w:tc>
          <w:tcPr>
            <w:tcW w:w="2283" w:type="dxa"/>
          </w:tcPr>
          <w:p w14:paraId="1E35C44C" w14:textId="7CE144D1" w:rsidR="003841FA" w:rsidRDefault="00DA61C9" w:rsidP="00D87C4E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iv. Kontrollur iġarrab attakk bi programm ta’ riskatt li jwassal biex id-</w:t>
            </w:r>
            <w:r w:rsidR="00BD591B" w:rsidRPr="00BD591B">
              <w:rPr>
                <w:rFonts w:ascii="Times New Roman" w:hAnsi="Times New Roman"/>
                <w:i/>
              </w:rPr>
              <w:t>data</w:t>
            </w:r>
            <w:r>
              <w:rPr>
                <w:rFonts w:ascii="Times New Roman" w:hAnsi="Times New Roman"/>
              </w:rPr>
              <w:t xml:space="preserve"> kollha tiġi kriptata. Ma jkun hemm ebda kopja ta’ riżerva disponibbli u d-</w:t>
            </w:r>
            <w:r w:rsidR="00BD591B" w:rsidRPr="00BD591B">
              <w:rPr>
                <w:rFonts w:ascii="Times New Roman" w:hAnsi="Times New Roman"/>
                <w:i/>
              </w:rPr>
              <w:t>data</w:t>
            </w:r>
            <w:r>
              <w:rPr>
                <w:rFonts w:ascii="Times New Roman" w:hAnsi="Times New Roman"/>
              </w:rPr>
              <w:t xml:space="preserve"> ma tkunx tista’ </w:t>
            </w:r>
            <w:r>
              <w:rPr>
                <w:rFonts w:ascii="Times New Roman" w:hAnsi="Times New Roman"/>
              </w:rPr>
              <w:lastRenderedPageBreak/>
              <w:t>tiġi restawrata. Matul l-investigazzjoni jidher ċar li l-unika funzjonalità tal-programm ta’ riskatt kienet li jikkripta d-</w:t>
            </w:r>
            <w:r w:rsidR="00BD591B" w:rsidRPr="00BD591B">
              <w:rPr>
                <w:rFonts w:ascii="Times New Roman" w:hAnsi="Times New Roman"/>
                <w:i/>
              </w:rPr>
              <w:t>data</w:t>
            </w:r>
            <w:r>
              <w:rPr>
                <w:rFonts w:ascii="Times New Roman" w:hAnsi="Times New Roman"/>
              </w:rPr>
              <w:t>, u li ma kien hemm ebda programm malizzjuż ieħor preżenti fis-sistema.</w:t>
            </w:r>
          </w:p>
        </w:tc>
        <w:tc>
          <w:tcPr>
            <w:tcW w:w="2282" w:type="dxa"/>
          </w:tcPr>
          <w:p w14:paraId="0FB86A8F" w14:textId="2DA5E1DC" w:rsidR="003841FA" w:rsidRDefault="000B52E2" w:rsidP="007D6BD7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Iva, irrapporta lill-awtorità superviżorja jekk ikun hemm konsegwenzi probabbli għall-individwi peress li dan hu telf tad-</w:t>
            </w:r>
            <w:r>
              <w:rPr>
                <w:rFonts w:ascii="Times New Roman" w:hAnsi="Times New Roman"/>
              </w:rPr>
              <w:lastRenderedPageBreak/>
              <w:t>disponibbiltà.</w:t>
            </w:r>
          </w:p>
        </w:tc>
        <w:tc>
          <w:tcPr>
            <w:tcW w:w="2206" w:type="dxa"/>
          </w:tcPr>
          <w:p w14:paraId="30DCA659" w14:textId="7487EBFE" w:rsidR="003841FA" w:rsidRDefault="00FD0CF0" w:rsidP="00FD0CF0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Iva, irrapporta lill-individwi, skont in-natura tad-</w:t>
            </w:r>
            <w:r w:rsidR="00BD591B" w:rsidRPr="00BD591B">
              <w:rPr>
                <w:rFonts w:ascii="Times New Roman" w:hAnsi="Times New Roman"/>
                <w:i/>
              </w:rPr>
              <w:t>data</w:t>
            </w:r>
            <w:r>
              <w:rPr>
                <w:rFonts w:ascii="Times New Roman" w:hAnsi="Times New Roman"/>
              </w:rPr>
              <w:t xml:space="preserve"> personali affettwata u l-effett possibbli tan-nuqqas ta’ disponibbiltà tad-</w:t>
            </w:r>
            <w:r w:rsidR="00BD591B" w:rsidRPr="00BD591B">
              <w:rPr>
                <w:rFonts w:ascii="Times New Roman" w:hAnsi="Times New Roman"/>
                <w:i/>
              </w:rPr>
              <w:t>data</w:t>
            </w:r>
            <w:r>
              <w:rPr>
                <w:rFonts w:ascii="Times New Roman" w:hAnsi="Times New Roman"/>
              </w:rPr>
              <w:t xml:space="preserve">, kif ukoll </w:t>
            </w:r>
            <w:r>
              <w:rPr>
                <w:rFonts w:ascii="Times New Roman" w:hAnsi="Times New Roman"/>
              </w:rPr>
              <w:lastRenderedPageBreak/>
              <w:t>konsegwenzi probabbli oħra.</w:t>
            </w:r>
          </w:p>
        </w:tc>
        <w:tc>
          <w:tcPr>
            <w:tcW w:w="2517" w:type="dxa"/>
          </w:tcPr>
          <w:p w14:paraId="1BE6793A" w14:textId="3D1FEE9F" w:rsidR="003841FA" w:rsidRDefault="00392A47" w:rsidP="000B52E2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Jekk kien hemm kopja ta’ riżerva disponibbli u d-</w:t>
            </w:r>
            <w:r w:rsidR="00BD591B" w:rsidRPr="00BD591B">
              <w:rPr>
                <w:rFonts w:ascii="Times New Roman" w:hAnsi="Times New Roman"/>
                <w:i/>
              </w:rPr>
              <w:t>data</w:t>
            </w:r>
            <w:r>
              <w:rPr>
                <w:rFonts w:ascii="Times New Roman" w:hAnsi="Times New Roman"/>
              </w:rPr>
              <w:t xml:space="preserve"> tista’ tiġi restawrata mingħajr wisq dewmien, ma jkunx hemm bżonn li dan jiġi rapportat lill-awtorità superviżorja jew lill-individwi peress li ma jkun </w:t>
            </w:r>
            <w:r>
              <w:rPr>
                <w:rFonts w:ascii="Times New Roman" w:hAnsi="Times New Roman"/>
              </w:rPr>
              <w:lastRenderedPageBreak/>
              <w:t xml:space="preserve">hemm ebda telf permanenti tad-disponibbiltà jew tal-kunfidenzjalità. Madankollu, jekk l-awtorità superviżorja tkun saret taf bl-inċident b’mezz ieħor, tista’ tikkunsidra investigazzjoni biex tivvaluta l-konformità mar-rekwiżiti aktar ġenerali dwar is-sigurtà tal-Artikolu 32.  </w:t>
            </w:r>
          </w:p>
        </w:tc>
      </w:tr>
      <w:tr w:rsidR="003841FA" w14:paraId="7EEE4A70" w14:textId="77777777" w:rsidTr="0001213C">
        <w:tc>
          <w:tcPr>
            <w:tcW w:w="2283" w:type="dxa"/>
          </w:tcPr>
          <w:p w14:paraId="54A332E6" w14:textId="08D06072" w:rsidR="00D01A35" w:rsidRDefault="00DA61C9" w:rsidP="00D01A35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v. Individwu jċempel liċ-ċentru tal-assistenza ta’ bank biex jirrapporta ksur ta’ </w:t>
            </w:r>
            <w:r w:rsidR="00BD591B" w:rsidRPr="00BD591B">
              <w:rPr>
                <w:rFonts w:ascii="Times New Roman" w:hAnsi="Times New Roman"/>
                <w:i/>
              </w:rPr>
              <w:t>data</w:t>
            </w:r>
            <w:r>
              <w:rPr>
                <w:rFonts w:ascii="Times New Roman" w:hAnsi="Times New Roman"/>
              </w:rPr>
              <w:t xml:space="preserve">. L-individwu rċieva rendikont ta’ kull xahar destinat għal xi ħadd ieħor. </w:t>
            </w:r>
          </w:p>
          <w:p w14:paraId="13E47FF8" w14:textId="41B37571" w:rsidR="00D01A35" w:rsidRDefault="00D01A35" w:rsidP="00D01A35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Il-kontrollur jagħmel investigazzjoni qasira (jiġifieri li titlesta f’24 siegħa) u jistabbilixxi b’kunfidenza raġonevoli li seħħ ksur ta’ </w:t>
            </w:r>
            <w:r w:rsidR="00BD591B" w:rsidRPr="00BD591B">
              <w:rPr>
                <w:rFonts w:ascii="Times New Roman" w:hAnsi="Times New Roman"/>
                <w:i/>
              </w:rPr>
              <w:t>data</w:t>
            </w:r>
            <w:r>
              <w:rPr>
                <w:rFonts w:ascii="Times New Roman" w:hAnsi="Times New Roman"/>
              </w:rPr>
              <w:t xml:space="preserve"> personali u jekk għandux problema sistemika li tkun tfisser li hemm individwi oħra li huma jew jistgħu jkunu affettwati. </w:t>
            </w:r>
          </w:p>
          <w:p w14:paraId="79A0CCA2" w14:textId="77777777" w:rsidR="003841FA" w:rsidRDefault="003841FA" w:rsidP="00392A47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282" w:type="dxa"/>
          </w:tcPr>
          <w:p w14:paraId="28D76527" w14:textId="73394D16" w:rsidR="003841FA" w:rsidRPr="0001213C" w:rsidRDefault="007F20B7" w:rsidP="007F20B7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Iva. </w:t>
            </w:r>
          </w:p>
        </w:tc>
        <w:tc>
          <w:tcPr>
            <w:tcW w:w="2206" w:type="dxa"/>
          </w:tcPr>
          <w:p w14:paraId="6A505E36" w14:textId="0E03B0A8" w:rsidR="003841FA" w:rsidRPr="0001213C" w:rsidRDefault="007F20B7" w:rsidP="007F20B7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L-individwi affettwati biss jiġu notifikati jekk ikun hemm riskju għoli u jkun ċar li ma kienx hemm oħrajn li ġew affettwati.</w:t>
            </w:r>
          </w:p>
        </w:tc>
        <w:tc>
          <w:tcPr>
            <w:tcW w:w="2517" w:type="dxa"/>
          </w:tcPr>
          <w:p w14:paraId="283B1DAD" w14:textId="62E07065" w:rsidR="003841FA" w:rsidRDefault="007F20B7" w:rsidP="00917CA4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Jekk, wara investigazzjoni ulterjuri, jiġi identifikat li hemm aktar individwi affettwati, irid jintbagħat aġġornament lill-awtorità superviżorja u l-kontrollur jieħu l-passi addizzjonali li jinnotifika lil individwi oħra jekk ikun hemm riskju għoli għalihom.</w:t>
            </w:r>
          </w:p>
        </w:tc>
      </w:tr>
      <w:tr w:rsidR="003841FA" w14:paraId="702AAF7D" w14:textId="77777777" w:rsidTr="0001213C">
        <w:tc>
          <w:tcPr>
            <w:tcW w:w="2283" w:type="dxa"/>
          </w:tcPr>
          <w:p w14:paraId="16AAADAA" w14:textId="4624D2CC" w:rsidR="003841FA" w:rsidRDefault="00DA61C9" w:rsidP="00621CAC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vi. Kontrollur jopera suq onlajn u għandu klijenti f’diversi Stati Membri. Is-suq iġarrab ċiberattakk u l-ismijiet tal-utenti, il-passwords u l-kronoloġija tax-xirjiet jiġu ppubblikati onlajn mill-aggressur.  </w:t>
            </w:r>
          </w:p>
        </w:tc>
        <w:tc>
          <w:tcPr>
            <w:tcW w:w="2282" w:type="dxa"/>
          </w:tcPr>
          <w:p w14:paraId="2CD519B7" w14:textId="15F3D6C0" w:rsidR="003841FA" w:rsidRDefault="007E56B8" w:rsidP="003628F5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Iva, irrapporta lill-awtorità superviżorja prinċipali jekk ikun involut proċessar transfruntier. </w:t>
            </w:r>
          </w:p>
        </w:tc>
        <w:tc>
          <w:tcPr>
            <w:tcW w:w="2206" w:type="dxa"/>
          </w:tcPr>
          <w:p w14:paraId="06485BD9" w14:textId="76E82071" w:rsidR="003841FA" w:rsidRDefault="007F20B7" w:rsidP="003841FA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Iva, peress li dan jista’ jwassal għal riskju għoli.</w:t>
            </w:r>
          </w:p>
        </w:tc>
        <w:tc>
          <w:tcPr>
            <w:tcW w:w="2517" w:type="dxa"/>
          </w:tcPr>
          <w:p w14:paraId="7541839F" w14:textId="77777777" w:rsidR="003841FA" w:rsidRDefault="007F20B7" w:rsidP="003841FA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Il-kontrollur għandu jieħu azzjoni, eż. billi jinforza risettjar tal-passwords fuq il-kontijiet affettwati, kif ukoll passi oħra biex jimmitiga r-riskju.</w:t>
            </w:r>
          </w:p>
          <w:p w14:paraId="20F8498F" w14:textId="6D635F93" w:rsidR="00621CAC" w:rsidRDefault="00621CAC" w:rsidP="003841FA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Il-kontrollur għandu jikkunsidra wkoll kull obbligu ta’ notifika ieħor, eż. skont id-Direttiva NIS bħala fornitur ta’ servizzi diġitali. </w:t>
            </w:r>
          </w:p>
        </w:tc>
      </w:tr>
      <w:tr w:rsidR="003841FA" w14:paraId="251A75F3" w14:textId="77777777" w:rsidTr="0001213C">
        <w:tc>
          <w:tcPr>
            <w:tcW w:w="2283" w:type="dxa"/>
          </w:tcPr>
          <w:p w14:paraId="309B459F" w14:textId="3F519D7E" w:rsidR="003841FA" w:rsidRDefault="00DA61C9" w:rsidP="00621CAC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vii. Kumpanija ta’ hosting ta’ siti web li taġixxi bħala proċessur tad-</w:t>
            </w:r>
            <w:r w:rsidR="00BD591B" w:rsidRPr="00BD591B">
              <w:rPr>
                <w:rFonts w:ascii="Times New Roman" w:hAnsi="Times New Roman"/>
                <w:i/>
              </w:rPr>
              <w:t>data</w:t>
            </w:r>
            <w:r>
              <w:rPr>
                <w:rFonts w:ascii="Times New Roman" w:hAnsi="Times New Roman"/>
              </w:rPr>
              <w:t xml:space="preserve"> tidentifika </w:t>
            </w:r>
            <w:r>
              <w:rPr>
                <w:rFonts w:ascii="Times New Roman" w:hAnsi="Times New Roman"/>
              </w:rPr>
              <w:lastRenderedPageBreak/>
              <w:t>żball fil-kodiċi li jikkontrolla l-awtorizzazzjoni tal-utenti. L-effett tal-iżball ifisser li kwalunkwe utent jista’ jaċċessa d-dettalji tal-kont ta’ kwalunkwe utent ieħor.</w:t>
            </w:r>
          </w:p>
        </w:tc>
        <w:tc>
          <w:tcPr>
            <w:tcW w:w="2282" w:type="dxa"/>
          </w:tcPr>
          <w:p w14:paraId="4FCABE4D" w14:textId="515FAB0B" w:rsidR="00680F5B" w:rsidRDefault="0012012F" w:rsidP="003841FA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Bħala l-proċessur, il-kumpanija ta’ hosting ta’ siti web trid tinnotifika lill-klijenti </w:t>
            </w:r>
            <w:r>
              <w:rPr>
                <w:rFonts w:ascii="Times New Roman" w:hAnsi="Times New Roman"/>
              </w:rPr>
              <w:lastRenderedPageBreak/>
              <w:t>affettwati tagħha (il-kontrolluri) mingħajr dewmien żejjed.</w:t>
            </w:r>
          </w:p>
          <w:p w14:paraId="2FF36C23" w14:textId="682FE2A4" w:rsidR="00680F5B" w:rsidRDefault="00680F5B" w:rsidP="003841FA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Jekk jiġu supponut li l-kumpanija ta’ hosting ta’ siti web tkun għamlet l-investigazzjoni tagħha stess, il-kontrolluri affettwati għandhom ikunu kunfidenti b’mod raġonevoli dwar jekk kull wieħed minnhom ġarrabx ksur u, għalhekk, aktarx li jitqiesu li “saru konxji” ladarba jiġu notifikati mill-kumpanija ta’ hosting (il-proċessur). Imbagħad il-kontrollur irid jinnotifika lill-awtorità superviżorja.</w:t>
            </w:r>
          </w:p>
          <w:p w14:paraId="28883E3A" w14:textId="7F38071B" w:rsidR="003841FA" w:rsidRPr="00680F5B" w:rsidRDefault="003841FA" w:rsidP="00A71EC5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206" w:type="dxa"/>
          </w:tcPr>
          <w:p w14:paraId="0DC803CD" w14:textId="3C8815F8" w:rsidR="003841FA" w:rsidRDefault="00744E43" w:rsidP="00D87C4E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Jekk aktarx li ma jkun hemm ebda riskju għoli għall-individwi, dawn ma </w:t>
            </w:r>
            <w:r>
              <w:rPr>
                <w:rFonts w:ascii="Times New Roman" w:hAnsi="Times New Roman"/>
              </w:rPr>
              <w:lastRenderedPageBreak/>
              <w:t xml:space="preserve">għandhomx bżonn jiġu notifikati. </w:t>
            </w:r>
          </w:p>
        </w:tc>
        <w:tc>
          <w:tcPr>
            <w:tcW w:w="2517" w:type="dxa"/>
          </w:tcPr>
          <w:p w14:paraId="40DC8D03" w14:textId="397FCD2A" w:rsidR="003841FA" w:rsidRDefault="00680F5B" w:rsidP="00BB2D80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Il-kumpanija ta’ hosting ta’ siti web (il-proċessur) trid tikkunsidra kwalunkwe obbligu ta’ notifika ieħor </w:t>
            </w:r>
            <w:r>
              <w:rPr>
                <w:rFonts w:ascii="Times New Roman" w:hAnsi="Times New Roman"/>
              </w:rPr>
              <w:lastRenderedPageBreak/>
              <w:t>(eż. skont id-Direttiva NIS bħala fornitur ta’ servizzi diġitali).</w:t>
            </w:r>
          </w:p>
          <w:p w14:paraId="4D4682F3" w14:textId="50EB6BF1" w:rsidR="00163D2B" w:rsidRDefault="00163D2B" w:rsidP="008E3FAE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Jekk ma jkun hemm ebda evidenza li din il-vulnerabbiltà tkun ġiet sfruttata minn xi wieħed mill-kontrolluri tagħha, jaf ma jkunx seħħ ksur notifikabbli iżda hu probabbli li dan ikun reġistrabbli jew ikun kwistjoni ta’ nuqqas ta’ konformità skont l-Artikolu 32.</w:t>
            </w:r>
          </w:p>
        </w:tc>
      </w:tr>
      <w:tr w:rsidR="00B35049" w14:paraId="5CE000F2" w14:textId="77777777" w:rsidTr="0001213C">
        <w:tc>
          <w:tcPr>
            <w:tcW w:w="2283" w:type="dxa"/>
          </w:tcPr>
          <w:p w14:paraId="3667C98F" w14:textId="3FDDE9C0" w:rsidR="00B35049" w:rsidRDefault="00DA61C9" w:rsidP="003841FA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viii. Ir-rekords mediċi fi sptar ma jkunux disponibbli għal perjodu ta’ 30 siegħa minħabba ċiberattakk.</w:t>
            </w:r>
          </w:p>
        </w:tc>
        <w:tc>
          <w:tcPr>
            <w:tcW w:w="2282" w:type="dxa"/>
          </w:tcPr>
          <w:p w14:paraId="46AC3722" w14:textId="08DDFCF0" w:rsidR="00B35049" w:rsidRPr="00680F5B" w:rsidRDefault="00B35049" w:rsidP="00B35049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Iva, l-isptar hu obbligat jinnotifika peress li jista’ jseħħ riksju għoli għall-benessri u għall-privatezza tal-pazjent.</w:t>
            </w:r>
          </w:p>
        </w:tc>
        <w:tc>
          <w:tcPr>
            <w:tcW w:w="2206" w:type="dxa"/>
          </w:tcPr>
          <w:p w14:paraId="57CBF86E" w14:textId="46EF4FA3" w:rsidR="00B35049" w:rsidRPr="00680F5B" w:rsidRDefault="00B35049" w:rsidP="00D87C4E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Iva, irrapporta lill-individwi affettwati.</w:t>
            </w:r>
          </w:p>
        </w:tc>
        <w:tc>
          <w:tcPr>
            <w:tcW w:w="2517" w:type="dxa"/>
          </w:tcPr>
          <w:p w14:paraId="47066F13" w14:textId="77777777" w:rsidR="00B35049" w:rsidRPr="00680F5B" w:rsidRDefault="00B35049" w:rsidP="00BB2D80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B35049" w14:paraId="7641AB64" w14:textId="77777777" w:rsidTr="0001213C">
        <w:tc>
          <w:tcPr>
            <w:tcW w:w="2283" w:type="dxa"/>
          </w:tcPr>
          <w:p w14:paraId="688C13F7" w14:textId="44738357" w:rsidR="00B35049" w:rsidRDefault="00DA61C9" w:rsidP="008E3FAE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ix. </w:t>
            </w:r>
            <w:r w:rsidR="00BD591B" w:rsidRPr="00BD591B">
              <w:rPr>
                <w:rFonts w:ascii="Times New Roman" w:hAnsi="Times New Roman"/>
                <w:i/>
              </w:rPr>
              <w:t>Data</w:t>
            </w:r>
            <w:r>
              <w:rPr>
                <w:rFonts w:ascii="Times New Roman" w:hAnsi="Times New Roman"/>
              </w:rPr>
              <w:t xml:space="preserve"> personali ta’ numru kbir ta’ studenti tintbagħat bi żball lil lista ta’ indirizzi żbaljata b’aktar minn 1000 riċevitur.</w:t>
            </w:r>
          </w:p>
        </w:tc>
        <w:tc>
          <w:tcPr>
            <w:tcW w:w="2282" w:type="dxa"/>
          </w:tcPr>
          <w:p w14:paraId="60E6CDC9" w14:textId="75026E27" w:rsidR="00B35049" w:rsidRPr="00680F5B" w:rsidRDefault="00B35049" w:rsidP="003841FA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Iva, irrapporta lill-awtorità superviżorja.</w:t>
            </w:r>
          </w:p>
        </w:tc>
        <w:tc>
          <w:tcPr>
            <w:tcW w:w="2206" w:type="dxa"/>
          </w:tcPr>
          <w:p w14:paraId="117176CF" w14:textId="0D66E730" w:rsidR="00B35049" w:rsidRPr="00680F5B" w:rsidRDefault="00B35049" w:rsidP="00D87C4E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Iva, irrapporta lill-individwi skont l-ambitu u t-tip ta’ </w:t>
            </w:r>
            <w:r w:rsidR="00BD591B" w:rsidRPr="00BD591B">
              <w:rPr>
                <w:rFonts w:ascii="Times New Roman" w:hAnsi="Times New Roman"/>
                <w:i/>
              </w:rPr>
              <w:t>data</w:t>
            </w:r>
            <w:r>
              <w:rPr>
                <w:rFonts w:ascii="Times New Roman" w:hAnsi="Times New Roman"/>
              </w:rPr>
              <w:t xml:space="preserve"> personali involuta u s-severità tal-konsegwenzi possibbli.</w:t>
            </w:r>
          </w:p>
        </w:tc>
        <w:tc>
          <w:tcPr>
            <w:tcW w:w="2517" w:type="dxa"/>
          </w:tcPr>
          <w:p w14:paraId="48E78E0F" w14:textId="77777777" w:rsidR="00B35049" w:rsidRPr="00680F5B" w:rsidRDefault="00B35049" w:rsidP="00BB2D80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B35049" w14:paraId="102F995F" w14:textId="77777777" w:rsidTr="0001213C">
        <w:tc>
          <w:tcPr>
            <w:tcW w:w="2283" w:type="dxa"/>
          </w:tcPr>
          <w:p w14:paraId="4E6C1461" w14:textId="60652C82" w:rsidR="00B35049" w:rsidRDefault="00DA61C9" w:rsidP="0057545E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x. Ittra elettronika ta’ kummerċjalizzazzjoni diretta tintbagħat lir-riċevituri fl-entrati “to:” jew “cc:”, u b’hekk kull riċevitur ikun jista’ jara l-indirizz tal-posta elettronika tar-</w:t>
            </w:r>
            <w:r>
              <w:rPr>
                <w:rFonts w:ascii="Times New Roman" w:hAnsi="Times New Roman"/>
              </w:rPr>
              <w:lastRenderedPageBreak/>
              <w:t>riċevituri l-oħra.</w:t>
            </w:r>
          </w:p>
        </w:tc>
        <w:tc>
          <w:tcPr>
            <w:tcW w:w="2282" w:type="dxa"/>
          </w:tcPr>
          <w:p w14:paraId="2356B6BD" w14:textId="3ADA89BA" w:rsidR="00B35049" w:rsidRPr="00680F5B" w:rsidRDefault="00B35049" w:rsidP="00B35049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Iva, in-notifika lill-awtorità superviżorja jaf tkun obbligatorja jekk ikunu affettwati ħafna individwi, jekk tinkixef </w:t>
            </w:r>
            <w:r w:rsidR="00BD591B" w:rsidRPr="00BD591B">
              <w:rPr>
                <w:rFonts w:ascii="Times New Roman" w:hAnsi="Times New Roman"/>
                <w:i/>
              </w:rPr>
              <w:t>data</w:t>
            </w:r>
            <w:r>
              <w:rPr>
                <w:rFonts w:ascii="Times New Roman" w:hAnsi="Times New Roman"/>
              </w:rPr>
              <w:t xml:space="preserve"> sensittiva (eż. lista ta’ indirizzi ta’ psikoterapist) jew </w:t>
            </w:r>
            <w:r>
              <w:rPr>
                <w:rFonts w:ascii="Times New Roman" w:hAnsi="Times New Roman"/>
              </w:rPr>
              <w:lastRenderedPageBreak/>
              <w:t>jekk hemm fatturi oħra li jippreżentaw riskji għoljin (eż. l-ittra fiha l-passwords inizjali).</w:t>
            </w:r>
          </w:p>
        </w:tc>
        <w:tc>
          <w:tcPr>
            <w:tcW w:w="2206" w:type="dxa"/>
          </w:tcPr>
          <w:p w14:paraId="50AD40E8" w14:textId="46048BBE" w:rsidR="00B35049" w:rsidRPr="00680F5B" w:rsidRDefault="00B35049" w:rsidP="00D87C4E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Iva, irrapporta lill-individwi skont l-ambitu u t-tip ta’ </w:t>
            </w:r>
            <w:r w:rsidR="00BD591B" w:rsidRPr="00BD591B">
              <w:rPr>
                <w:rFonts w:ascii="Times New Roman" w:hAnsi="Times New Roman"/>
                <w:i/>
              </w:rPr>
              <w:t>data</w:t>
            </w:r>
            <w:r>
              <w:rPr>
                <w:rFonts w:ascii="Times New Roman" w:hAnsi="Times New Roman"/>
              </w:rPr>
              <w:t xml:space="preserve"> personali involuta u s-severità tal-konsegwenzi possibbli.</w:t>
            </w:r>
          </w:p>
        </w:tc>
        <w:tc>
          <w:tcPr>
            <w:tcW w:w="2517" w:type="dxa"/>
          </w:tcPr>
          <w:p w14:paraId="219FF2BA" w14:textId="23C3A603" w:rsidR="00B35049" w:rsidRPr="00680F5B" w:rsidRDefault="00B35049" w:rsidP="00BB2D80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In-notifika jaf ma tkunx meħtieġa jekk ma tinkixef ebda </w:t>
            </w:r>
            <w:r w:rsidR="00BD591B" w:rsidRPr="00BD591B">
              <w:rPr>
                <w:rFonts w:ascii="Times New Roman" w:hAnsi="Times New Roman"/>
                <w:i/>
              </w:rPr>
              <w:t>data</w:t>
            </w:r>
            <w:r>
              <w:rPr>
                <w:rFonts w:ascii="Times New Roman" w:hAnsi="Times New Roman"/>
              </w:rPr>
              <w:t xml:space="preserve"> sensittiva jew jekk jinkixfu numru żgħir biss ta’ indirizzi tal-posta elettronika.</w:t>
            </w:r>
          </w:p>
        </w:tc>
      </w:tr>
    </w:tbl>
    <w:p w14:paraId="032BC4AC" w14:textId="77777777" w:rsidR="0083202D" w:rsidRPr="00DF1BD8" w:rsidRDefault="0083202D" w:rsidP="00DF1BD8">
      <w:pPr>
        <w:spacing w:line="240" w:lineRule="auto"/>
        <w:jc w:val="both"/>
        <w:rPr>
          <w:rFonts w:ascii="Times New Roman" w:hAnsi="Times New Roman"/>
        </w:rPr>
      </w:pPr>
      <w:bookmarkStart w:id="49" w:name="_Recommendations"/>
      <w:bookmarkEnd w:id="47"/>
      <w:bookmarkEnd w:id="48"/>
      <w:bookmarkEnd w:id="49"/>
    </w:p>
    <w:sectPr w:rsidR="0083202D" w:rsidRPr="00DF1BD8" w:rsidSect="00FC230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3A3F31" w14:textId="77777777" w:rsidR="00154258" w:rsidRDefault="00154258" w:rsidP="00FB7EFC">
      <w:pPr>
        <w:spacing w:after="0" w:line="240" w:lineRule="auto"/>
      </w:pPr>
      <w:r>
        <w:separator/>
      </w:r>
    </w:p>
  </w:endnote>
  <w:endnote w:type="continuationSeparator" w:id="0">
    <w:p w14:paraId="5D2DD2B0" w14:textId="77777777" w:rsidR="00154258" w:rsidRDefault="00154258" w:rsidP="00FB7EFC">
      <w:pPr>
        <w:spacing w:after="0" w:line="240" w:lineRule="auto"/>
      </w:pPr>
      <w:r>
        <w:continuationSeparator/>
      </w:r>
    </w:p>
  </w:endnote>
  <w:endnote w:type="continuationNotice" w:id="1">
    <w:p w14:paraId="7AA9E400" w14:textId="77777777" w:rsidR="00154258" w:rsidRDefault="0015425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528A20" w14:textId="77777777" w:rsidR="00154258" w:rsidRDefault="0015425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42BC0D" w14:textId="1FE3ADEB" w:rsidR="00154258" w:rsidRPr="00AF19DA" w:rsidRDefault="00154258">
    <w:pPr>
      <w:pStyle w:val="Footer"/>
      <w:jc w:val="right"/>
      <w:rPr>
        <w:rFonts w:ascii="Times New Roman" w:hAnsi="Times New Roman"/>
        <w:sz w:val="22"/>
      </w:rPr>
    </w:pPr>
    <w:r w:rsidRPr="00AF19DA">
      <w:rPr>
        <w:rFonts w:ascii="Times New Roman" w:hAnsi="Times New Roman"/>
        <w:sz w:val="22"/>
      </w:rPr>
      <w:fldChar w:fldCharType="begin"/>
    </w:r>
    <w:r w:rsidRPr="00AF19DA">
      <w:rPr>
        <w:rFonts w:ascii="Times New Roman" w:hAnsi="Times New Roman"/>
        <w:sz w:val="22"/>
      </w:rPr>
      <w:instrText>PAGE   \* MERGEFORMAT</w:instrText>
    </w:r>
    <w:r w:rsidRPr="00AF19DA">
      <w:rPr>
        <w:rFonts w:ascii="Times New Roman" w:hAnsi="Times New Roman"/>
        <w:sz w:val="22"/>
      </w:rPr>
      <w:fldChar w:fldCharType="separate"/>
    </w:r>
    <w:r w:rsidR="00FE1886">
      <w:rPr>
        <w:rFonts w:ascii="Times New Roman" w:hAnsi="Times New Roman"/>
        <w:noProof/>
        <w:sz w:val="22"/>
      </w:rPr>
      <w:t>2</w:t>
    </w:r>
    <w:r w:rsidRPr="00AF19DA">
      <w:rPr>
        <w:rFonts w:ascii="Times New Roman" w:hAnsi="Times New Roman"/>
        <w:noProof/>
        <w:sz w:val="22"/>
      </w:rPr>
      <w:fldChar w:fldCharType="end"/>
    </w:r>
  </w:p>
  <w:p w14:paraId="1A35072E" w14:textId="77777777" w:rsidR="00154258" w:rsidRDefault="0015425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B444DA" w14:textId="2946BE26" w:rsidR="00154258" w:rsidRDefault="00154258" w:rsidP="004651F2">
    <w:pPr>
      <w:autoSpaceDE w:val="0"/>
      <w:autoSpaceDN w:val="0"/>
      <w:adjustRightInd w:val="0"/>
      <w:jc w:val="both"/>
      <w:rPr>
        <w:rFonts w:ascii="Arial" w:hAnsi="Arial" w:cs="Arial"/>
        <w:color w:val="000000"/>
        <w:sz w:val="16"/>
        <w:szCs w:val="16"/>
      </w:rPr>
    </w:pPr>
    <w:r>
      <w:rPr>
        <w:rFonts w:ascii="Arial" w:hAnsi="Arial"/>
        <w:color w:val="000000"/>
        <w:sz w:val="16"/>
      </w:rPr>
      <w:t>Dan il-Grupp ta’ Ħidma twaqqaf skont l-Artikolu 29 tad-Direttiva 95/46/KE. Hu korp konsultattiv indipendenti Ewropew dwar il-protezzjoni tad-</w:t>
    </w:r>
    <w:r w:rsidR="00BD591B" w:rsidRPr="00BD591B">
      <w:rPr>
        <w:rFonts w:ascii="Arial" w:hAnsi="Arial"/>
        <w:i/>
        <w:color w:val="000000"/>
        <w:sz w:val="16"/>
      </w:rPr>
      <w:t>data</w:t>
    </w:r>
    <w:r>
      <w:rPr>
        <w:rFonts w:ascii="Arial" w:hAnsi="Arial"/>
        <w:color w:val="000000"/>
        <w:sz w:val="16"/>
      </w:rPr>
      <w:t xml:space="preserve"> u l-privatezza. Il-kompiti tiegħu huma deskritti fl-Artikolu 30 tad-Direttiva 95/46/KE u fl-Artikolu 15 tad-Direttiva 2002/58/KE.</w:t>
    </w:r>
  </w:p>
  <w:p w14:paraId="4CC21166" w14:textId="77777777" w:rsidR="00154258" w:rsidRDefault="00154258" w:rsidP="004651F2">
    <w:pPr>
      <w:autoSpaceDE w:val="0"/>
      <w:autoSpaceDN w:val="0"/>
      <w:adjustRightInd w:val="0"/>
      <w:jc w:val="both"/>
      <w:rPr>
        <w:rFonts w:ascii="Arial" w:hAnsi="Arial" w:cs="Arial"/>
        <w:color w:val="000000"/>
        <w:sz w:val="16"/>
        <w:szCs w:val="16"/>
      </w:rPr>
    </w:pPr>
    <w:r>
      <w:rPr>
        <w:rFonts w:ascii="Arial" w:hAnsi="Arial"/>
        <w:color w:val="000000"/>
        <w:sz w:val="16"/>
      </w:rPr>
      <w:t>Is-segretarjat hu pprovdut mid-Direttorat C (Drittijiet Fundamentali u Ċittadinanza tal-Unjoni) tal-Kummissjoni Ewropea, Direttorat Ġenerali Ġustizzja, B-1049 Brussell, Il-Belġju, Uffiċċju Nru MO-59 02/013.</w:t>
    </w:r>
  </w:p>
  <w:p w14:paraId="4C22445B" w14:textId="12084A26" w:rsidR="00154258" w:rsidRPr="000E15A0" w:rsidRDefault="00154258" w:rsidP="004651F2">
    <w:pPr>
      <w:autoSpaceDE w:val="0"/>
      <w:autoSpaceDN w:val="0"/>
      <w:adjustRightInd w:val="0"/>
      <w:jc w:val="both"/>
    </w:pPr>
    <w:r>
      <w:rPr>
        <w:rFonts w:ascii="Arial" w:hAnsi="Arial"/>
        <w:color w:val="000000"/>
        <w:sz w:val="16"/>
      </w:rPr>
      <w:t xml:space="preserve">Sit web: </w:t>
    </w:r>
    <w:hyperlink r:id="rId1">
      <w:r>
        <w:rPr>
          <w:rStyle w:val="Hyperlink"/>
          <w:rFonts w:ascii="Arial" w:hAnsi="Arial"/>
          <w:sz w:val="16"/>
        </w:rPr>
        <w:t>https://ec.europa.eu/info/law/law-topic/</w:t>
      </w:r>
      <w:r w:rsidR="00BD591B" w:rsidRPr="00BD591B">
        <w:rPr>
          <w:rStyle w:val="Hyperlink"/>
          <w:rFonts w:ascii="Arial" w:hAnsi="Arial"/>
          <w:i/>
          <w:sz w:val="16"/>
        </w:rPr>
        <w:t>data</w:t>
      </w:r>
      <w:r>
        <w:rPr>
          <w:rStyle w:val="Hyperlink"/>
          <w:rFonts w:ascii="Arial" w:hAnsi="Arial"/>
          <w:sz w:val="16"/>
        </w:rPr>
        <w:t>-protection_mt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3CC036" w14:textId="77777777" w:rsidR="00154258" w:rsidRDefault="00154258" w:rsidP="00FB7EFC">
      <w:pPr>
        <w:spacing w:after="0" w:line="240" w:lineRule="auto"/>
      </w:pPr>
      <w:r>
        <w:separator/>
      </w:r>
    </w:p>
  </w:footnote>
  <w:footnote w:type="continuationSeparator" w:id="0">
    <w:p w14:paraId="51CD9FE0" w14:textId="77777777" w:rsidR="00154258" w:rsidRDefault="00154258" w:rsidP="00FB7EFC">
      <w:pPr>
        <w:spacing w:after="0" w:line="240" w:lineRule="auto"/>
      </w:pPr>
      <w:r>
        <w:continuationSeparator/>
      </w:r>
    </w:p>
  </w:footnote>
  <w:footnote w:type="continuationNotice" w:id="1">
    <w:p w14:paraId="0B914429" w14:textId="77777777" w:rsidR="00154258" w:rsidRDefault="00154258">
      <w:pPr>
        <w:spacing w:after="0" w:line="240" w:lineRule="auto"/>
      </w:pPr>
    </w:p>
  </w:footnote>
  <w:footnote w:id="2">
    <w:p w14:paraId="2C4A088C" w14:textId="2FAFAF15" w:rsidR="00154258" w:rsidRPr="00853A2A" w:rsidRDefault="00154258" w:rsidP="007B1616">
      <w:pPr>
        <w:pStyle w:val="FootnoteText"/>
        <w:spacing w:line="240" w:lineRule="auto"/>
        <w:rPr>
          <w:rFonts w:ascii="Times New Roman" w:hAnsi="Times New Roman"/>
        </w:rPr>
      </w:pPr>
      <w:r>
        <w:rPr>
          <w:rStyle w:val="FootnoteReference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Ara l-Artikolu 4(21) tal-GDPR</w:t>
      </w:r>
    </w:p>
  </w:footnote>
  <w:footnote w:id="3">
    <w:p w14:paraId="15F24913" w14:textId="4625E908" w:rsidR="00154258" w:rsidRPr="000873C4" w:rsidRDefault="00154258" w:rsidP="007B1616">
      <w:pPr>
        <w:pStyle w:val="CommentText"/>
        <w:spacing w:line="240" w:lineRule="auto"/>
      </w:pPr>
      <w:r>
        <w:rPr>
          <w:rStyle w:val="FootnoteReference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Ara </w:t>
      </w:r>
      <w:hyperlink r:id="rId1">
        <w:r>
          <w:rPr>
            <w:rStyle w:val="Hyperlink"/>
            <w:rFonts w:ascii="Times New Roman" w:hAnsi="Times New Roman"/>
          </w:rPr>
          <w:t>http://eur-lex.europa.eu/legal-content/MT/TXT/?uri=celex:32009L0136</w:t>
        </w:r>
      </w:hyperlink>
      <w:r>
        <w:rPr>
          <w:rFonts w:ascii="Times New Roman" w:hAnsi="Times New Roman"/>
        </w:rPr>
        <w:t xml:space="preserve"> u </w:t>
      </w:r>
      <w:hyperlink r:id="rId2">
        <w:r>
          <w:rPr>
            <w:rStyle w:val="Hyperlink"/>
            <w:rFonts w:ascii="Times New Roman" w:hAnsi="Times New Roman"/>
          </w:rPr>
          <w:t>http://eur-lex.europa.eu/legal-content/MT/TXT/?uri=CELEX%3A32013R0611</w:t>
        </w:r>
      </w:hyperlink>
    </w:p>
  </w:footnote>
  <w:footnote w:id="4">
    <w:p w14:paraId="13E58740" w14:textId="0997402E" w:rsidR="00154258" w:rsidRPr="00BD591B" w:rsidRDefault="00154258" w:rsidP="007B1616">
      <w:pPr>
        <w:pStyle w:val="FootnoteText"/>
        <w:spacing w:line="240" w:lineRule="auto"/>
        <w:rPr>
          <w:lang w:val="pt-PT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ascii="Times New Roman" w:hAnsi="Times New Roman"/>
        </w:rPr>
        <w:t xml:space="preserve">Ara </w:t>
      </w:r>
      <w:hyperlink r:id="rId3">
        <w:r>
          <w:rPr>
            <w:rStyle w:val="Hyperlink"/>
            <w:rFonts w:ascii="Times New Roman" w:hAnsi="Times New Roman"/>
          </w:rPr>
          <w:t>https://www.</w:t>
        </w:r>
        <w:r w:rsidR="00BD591B" w:rsidRPr="00BD591B">
          <w:rPr>
            <w:rStyle w:val="Hyperlink"/>
            <w:rFonts w:ascii="Times New Roman" w:hAnsi="Times New Roman"/>
            <w:i/>
          </w:rPr>
          <w:t>data</w:t>
        </w:r>
        <w:r>
          <w:rPr>
            <w:rStyle w:val="Hyperlink"/>
            <w:rFonts w:ascii="Times New Roman" w:hAnsi="Times New Roman"/>
          </w:rPr>
          <w:t>protection.ie/docs/</w:t>
        </w:r>
        <w:r w:rsidR="00BD591B" w:rsidRPr="00BD591B">
          <w:rPr>
            <w:rStyle w:val="Hyperlink"/>
            <w:rFonts w:ascii="Times New Roman" w:hAnsi="Times New Roman"/>
            <w:i/>
          </w:rPr>
          <w:t>Data</w:t>
        </w:r>
        <w:r>
          <w:rPr>
            <w:rStyle w:val="Hyperlink"/>
            <w:rFonts w:ascii="Times New Roman" w:hAnsi="Times New Roman"/>
          </w:rPr>
          <w:t>_Security_Breach_Code_of_Practice/1082.htm</w:t>
        </w:r>
      </w:hyperlink>
      <w:r>
        <w:rPr>
          <w:rFonts w:ascii="Times New Roman" w:hAnsi="Times New Roman"/>
        </w:rPr>
        <w:t xml:space="preserve"> </w:t>
      </w:r>
    </w:p>
  </w:footnote>
  <w:footnote w:id="5">
    <w:p w14:paraId="0E401ADF" w14:textId="2EB3B4A3" w:rsidR="00154258" w:rsidRPr="006105D4" w:rsidRDefault="00154258" w:rsidP="007B1616">
      <w:pPr>
        <w:pStyle w:val="FootnoteText"/>
        <w:spacing w:line="240" w:lineRule="auto"/>
        <w:rPr>
          <w:rFonts w:ascii="Times New Roman" w:hAnsi="Times New Roman"/>
        </w:rPr>
      </w:pPr>
      <w:r>
        <w:rPr>
          <w:rStyle w:val="FootnoteReference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Ara </w:t>
      </w:r>
      <w:hyperlink r:id="rId4">
        <w:r>
          <w:rPr>
            <w:rStyle w:val="Hyperlink"/>
            <w:rFonts w:ascii="Times New Roman" w:hAnsi="Times New Roman"/>
          </w:rPr>
          <w:t>http://eur-lex.europa.eu/legal-content/MT/TXT/?uri=celex:31995L0046</w:t>
        </w:r>
      </w:hyperlink>
      <w:r>
        <w:rPr>
          <w:rStyle w:val="Hyperlink"/>
          <w:rFonts w:ascii="Times New Roman" w:hAnsi="Times New Roman"/>
        </w:rPr>
        <w:t xml:space="preserve"> </w:t>
      </w:r>
    </w:p>
  </w:footnote>
  <w:footnote w:id="6">
    <w:p w14:paraId="5089ACF2" w14:textId="7C5A0B3D" w:rsidR="00154258" w:rsidRDefault="00154258" w:rsidP="007B1616">
      <w:pPr>
        <w:pStyle w:val="FootnoteText"/>
        <w:spacing w:line="240" w:lineRule="auto"/>
      </w:pPr>
      <w:r>
        <w:rPr>
          <w:rStyle w:val="FootnoteReference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Id-drittijiet imnaqqxa fil-Karta tad-Drittijiet Fundamentali tal-UE, disponibbli fuq </w:t>
      </w:r>
      <w:hyperlink r:id="rId5">
        <w:r>
          <w:rPr>
            <w:rStyle w:val="Hyperlink"/>
            <w:rFonts w:ascii="Times New Roman" w:hAnsi="Times New Roman"/>
          </w:rPr>
          <w:t>http://eur-lex.europa.eu/legal-content/MT/TXT/?uri=CELEX:12012P/TXT</w:t>
        </w:r>
      </w:hyperlink>
      <w:r>
        <w:t xml:space="preserve"> </w:t>
      </w:r>
    </w:p>
  </w:footnote>
  <w:footnote w:id="7">
    <w:p w14:paraId="57BBE407" w14:textId="4BB7FBA0" w:rsidR="00154258" w:rsidRDefault="00154258" w:rsidP="007B1616">
      <w:pPr>
        <w:pStyle w:val="FootnoteText"/>
        <w:spacing w:line="240" w:lineRule="auto"/>
      </w:pPr>
      <w:r>
        <w:rPr>
          <w:rStyle w:val="FootnoteReference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Ara l-Artikolu 33(2). Dan hu simili fil-kunċett għall-Artikolu 5 tar-Regolament (UE) Nru 611/2013 li jiddikjara li fornitur li jidħol f’kuntratt biex jipprovdi parti minn servizz tal-komunikazzjoni elettronika (mingħajr ma jkollu relazzjoni kuntrattwali diretta mal-abbonati) hu obbligat jinnotifika lill-fornitur kontraenti f’każ ta’ ksur ta’ </w:t>
      </w:r>
      <w:r w:rsidR="00BD591B" w:rsidRPr="00BD591B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personali.</w:t>
      </w:r>
    </w:p>
  </w:footnote>
  <w:footnote w:id="8">
    <w:p w14:paraId="7A4D36B7" w14:textId="12CA5446" w:rsidR="00154258" w:rsidRPr="00BC6C6B" w:rsidRDefault="00154258">
      <w:pPr>
        <w:pStyle w:val="FootnoteText"/>
        <w:rPr>
          <w:rFonts w:ascii="Times New Roman" w:hAnsi="Times New Roman"/>
        </w:rPr>
      </w:pPr>
      <w:r>
        <w:rPr>
          <w:rStyle w:val="FootnoteReference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Ara l-Artikoli 34(4) u 58(2)(e)</w:t>
      </w:r>
    </w:p>
  </w:footnote>
  <w:footnote w:id="9">
    <w:p w14:paraId="60B5B342" w14:textId="7E36D58F" w:rsidR="00154258" w:rsidRDefault="00154258" w:rsidP="007B1616">
      <w:pPr>
        <w:pStyle w:val="FootnoteText"/>
        <w:spacing w:line="240" w:lineRule="auto"/>
      </w:pPr>
      <w:r>
        <w:rPr>
          <w:rStyle w:val="FootnoteReference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Dan jista’ jiġi żgurat skont ir-rekwiżit ta’ monitoraġġ u ta’ rieżami ta’ DPIA, li hu meħtieġ għal operazzjonijiet ta’ proċessar li aktarx li jirriżultaw f’riskju għoli għad-drittijiet u għal-libertajiet ta’ persuni fiżiċi (Artikolu 35(1) u (11).</w:t>
      </w:r>
    </w:p>
  </w:footnote>
  <w:footnote w:id="10">
    <w:p w14:paraId="177A96E2" w14:textId="650F4DE4" w:rsidR="00154258" w:rsidRPr="001955D2" w:rsidRDefault="00154258" w:rsidP="007B1616">
      <w:pPr>
        <w:pStyle w:val="FootnoteText"/>
        <w:spacing w:line="240" w:lineRule="auto"/>
        <w:rPr>
          <w:rFonts w:ascii="Times New Roman" w:hAnsi="Times New Roman"/>
        </w:rPr>
      </w:pPr>
      <w:r>
        <w:rPr>
          <w:rStyle w:val="FootnoteReference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Ara l-Opinjoni 03/2014 dwar in-Notifika ta’ Ksur ta’ </w:t>
      </w:r>
      <w:r w:rsidR="00BD591B" w:rsidRPr="00BD591B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Personali </w:t>
      </w:r>
      <w:hyperlink r:id="rId6">
        <w:r>
          <w:rPr>
            <w:rStyle w:val="Hyperlink"/>
            <w:rFonts w:ascii="Times New Roman" w:hAnsi="Times New Roman"/>
          </w:rPr>
          <w:t>http://ec.europa.eu/justice/</w:t>
        </w:r>
        <w:r w:rsidR="00BD591B" w:rsidRPr="00BD591B">
          <w:rPr>
            <w:rStyle w:val="Hyperlink"/>
            <w:rFonts w:ascii="Times New Roman" w:hAnsi="Times New Roman"/>
            <w:i/>
          </w:rPr>
          <w:t>data</w:t>
        </w:r>
        <w:r>
          <w:rPr>
            <w:rStyle w:val="Hyperlink"/>
            <w:rFonts w:ascii="Times New Roman" w:hAnsi="Times New Roman"/>
          </w:rPr>
          <w:t>-protection/article-29/documentation/opinion-recommendation/files/2014/wp213_en.pdf</w:t>
        </w:r>
      </w:hyperlink>
    </w:p>
  </w:footnote>
  <w:footnote w:id="11">
    <w:p w14:paraId="59654D5E" w14:textId="08CA73B4" w:rsidR="00154258" w:rsidRPr="00CB1487" w:rsidRDefault="00154258" w:rsidP="007B1616">
      <w:pPr>
        <w:pStyle w:val="FootnoteText"/>
        <w:spacing w:line="240" w:lineRule="auto"/>
        <w:rPr>
          <w:rFonts w:ascii="Times New Roman" w:hAnsi="Times New Roman"/>
        </w:rPr>
      </w:pPr>
      <w:r>
        <w:rPr>
          <w:rStyle w:val="FootnoteReference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Ara Artikoli 5(1)(f) u 32. </w:t>
      </w:r>
    </w:p>
  </w:footnote>
  <w:footnote w:id="12">
    <w:p w14:paraId="1E55F9D9" w14:textId="77777777" w:rsidR="00154258" w:rsidRPr="00CB1487" w:rsidRDefault="00154258" w:rsidP="007B1616">
      <w:pPr>
        <w:pStyle w:val="FootnoteText"/>
        <w:spacing w:line="240" w:lineRule="auto"/>
        <w:rPr>
          <w:rFonts w:ascii="Times New Roman" w:hAnsi="Times New Roman"/>
        </w:rPr>
      </w:pPr>
      <w:r>
        <w:rPr>
          <w:rStyle w:val="FootnoteReference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Artikolu 32; ara wkoll il-Premessa 83</w:t>
      </w:r>
    </w:p>
  </w:footnote>
  <w:footnote w:id="13">
    <w:p w14:paraId="3F8CCC78" w14:textId="560D3E96" w:rsidR="00154258" w:rsidRPr="00B75DD6" w:rsidRDefault="00154258">
      <w:pPr>
        <w:pStyle w:val="FootnoteText"/>
        <w:rPr>
          <w:rFonts w:ascii="Times New Roman" w:hAnsi="Times New Roman"/>
        </w:rPr>
      </w:pPr>
      <w:r>
        <w:rPr>
          <w:rStyle w:val="FootnoteReference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Ara l-Premessa 87</w:t>
      </w:r>
    </w:p>
  </w:footnote>
  <w:footnote w:id="14">
    <w:p w14:paraId="3D431301" w14:textId="2C3A0318" w:rsidR="00154258" w:rsidRPr="000F2FAD" w:rsidRDefault="00154258" w:rsidP="000F2FAD">
      <w:pPr>
        <w:pStyle w:val="FootnoteText"/>
        <w:spacing w:line="240" w:lineRule="auto"/>
        <w:rPr>
          <w:rFonts w:ascii="Times New Roman" w:hAnsi="Times New Roman"/>
        </w:rPr>
      </w:pPr>
      <w:r>
        <w:rPr>
          <w:rStyle w:val="FootnoteReference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Ta’ min jinnota li inċident tas-sigurtà mhuwiex limitat għal mudelli ta’ theddid li fihom isir attakk fuq organizzazzjoni minn sors estern, iżda jinkludi inċidenti mill-proċessar intern li jiksru l-prinċipji tas-sigurtà.</w:t>
      </w:r>
    </w:p>
  </w:footnote>
  <w:footnote w:id="15">
    <w:p w14:paraId="635EC67B" w14:textId="0CE19676" w:rsidR="00154258" w:rsidRPr="000F2FAD" w:rsidRDefault="00154258" w:rsidP="000F2FAD">
      <w:pPr>
        <w:pStyle w:val="FootnoteText"/>
        <w:spacing w:line="240" w:lineRule="auto"/>
        <w:rPr>
          <w:rFonts w:ascii="Times New Roman" w:hAnsi="Times New Roman"/>
        </w:rPr>
      </w:pPr>
      <w:r>
        <w:rPr>
          <w:rStyle w:val="FootnoteReference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Ara l-Opinjoni 03/2014</w:t>
      </w:r>
    </w:p>
  </w:footnote>
  <w:footnote w:id="16">
    <w:p w14:paraId="4F8D0965" w14:textId="0EA96F8B" w:rsidR="00154258" w:rsidRPr="00505C5F" w:rsidRDefault="00154258" w:rsidP="000F2FAD">
      <w:pPr>
        <w:pStyle w:val="FootnoteText"/>
        <w:spacing w:line="240" w:lineRule="auto"/>
        <w:rPr>
          <w:rFonts w:ascii="Times New Roman" w:hAnsi="Times New Roman"/>
        </w:rPr>
      </w:pPr>
      <w:r>
        <w:rPr>
          <w:rStyle w:val="FootnoteReference"/>
          <w:rFonts w:ascii="Times New Roman" w:hAnsi="Times New Roman"/>
        </w:rPr>
        <w:footnoteRef/>
      </w:r>
      <w:r>
        <w:t xml:space="preserve"> </w:t>
      </w:r>
      <w:r>
        <w:rPr>
          <w:rFonts w:ascii="Times New Roman" w:hAnsi="Times New Roman"/>
        </w:rPr>
        <w:t xml:space="preserve">Hu ferm stabbilit li l-“aċċess” hu parti fundamentali mid-“disponibbiltà”. Ara, pereżempju, NIST SP800-53rev4, li tiddefinixxi l-“availability” (“disponibbiltà”) bħala: “Ensuring timely and reliable access to and use of information (L-iżgurar ta’ aċċess puntwali u affidabbli għal informazzjoni u tal-użu ta’ din),” disponibbli fuq </w:t>
      </w:r>
      <w:hyperlink r:id="rId7">
        <w:r>
          <w:rPr>
            <w:rStyle w:val="Hyperlink"/>
            <w:rFonts w:ascii="Times New Roman" w:hAnsi="Times New Roman"/>
          </w:rPr>
          <w:t>http://nvlpubs.nist.gov/nistpubs/SpecialPublications/NIST.SP.800-53r4.pdf</w:t>
        </w:r>
      </w:hyperlink>
      <w:r>
        <w:rPr>
          <w:rFonts w:ascii="Times New Roman" w:hAnsi="Times New Roman"/>
        </w:rPr>
        <w:t>. CNSSI-4009 tirreferi wkoll għal: “ Aċċess f’waqtu, affidabbli għal servizzi tad-</w:t>
      </w:r>
      <w:r w:rsidR="00BD591B" w:rsidRPr="00BD591B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u l-informazzjoni għal utenti awtorizzati.” Ara</w:t>
      </w:r>
      <w:r>
        <w:t xml:space="preserve"> </w:t>
      </w:r>
      <w:hyperlink r:id="rId8">
        <w:r>
          <w:rPr>
            <w:rStyle w:val="Hyperlink"/>
            <w:rFonts w:ascii="Times New Roman" w:hAnsi="Times New Roman"/>
          </w:rPr>
          <w:t>https://rmf.org/wp-content/uploads/2017/10/CNSSI-4009.pdf</w:t>
        </w:r>
      </w:hyperlink>
      <w:r>
        <w:rPr>
          <w:rFonts w:ascii="Times New Roman" w:hAnsi="Times New Roman"/>
        </w:rPr>
        <w:t xml:space="preserve">. ISO/IEC 27000:2016 ukoll tiddefinixxi l-“availability” (“disponibbiltà”) bħala “Property of being accessible and usable upon demand by an authorized entity (L-aċċessibbiltà u l-utilizzabilità fuq talba minn entità awtorizzata)”: </w:t>
      </w:r>
      <w:hyperlink r:id="rId9" w:anchor="iso:std:iso-iec:27000:ed-4:v1:en">
        <w:r>
          <w:rPr>
            <w:rStyle w:val="Hyperlink"/>
            <w:rFonts w:ascii="Times New Roman" w:hAnsi="Times New Roman"/>
          </w:rPr>
          <w:t>https://www.iso.org/obp/ui/#iso:std:iso-iec:27000:ed-4:v1:en</w:t>
        </w:r>
      </w:hyperlink>
      <w:r>
        <w:rPr>
          <w:rFonts w:ascii="Times New Roman" w:hAnsi="Times New Roman"/>
        </w:rPr>
        <w:t xml:space="preserve"> </w:t>
      </w:r>
    </w:p>
  </w:footnote>
  <w:footnote w:id="17">
    <w:p w14:paraId="167BA357" w14:textId="150CB299" w:rsidR="00154258" w:rsidRPr="00154258" w:rsidRDefault="00154258">
      <w:pPr>
        <w:pStyle w:val="FootnoteText"/>
      </w:pPr>
      <w:r>
        <w:rPr>
          <w:rStyle w:val="FootnoteReference"/>
          <w:rFonts w:ascii="Times New Roman" w:hAnsi="Times New Roman"/>
        </w:rPr>
        <w:footnoteRef/>
      </w:r>
      <w:r>
        <w:rPr>
          <w:rStyle w:val="FootnoteReference"/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Ara l-Artikolu 33(5)</w:t>
      </w:r>
    </w:p>
  </w:footnote>
  <w:footnote w:id="18">
    <w:p w14:paraId="45F155EB" w14:textId="288F4735" w:rsidR="00154258" w:rsidRPr="003B5407" w:rsidRDefault="00154258" w:rsidP="00B7727B">
      <w:pPr>
        <w:pStyle w:val="FootnoteText"/>
        <w:spacing w:line="240" w:lineRule="auto"/>
        <w:rPr>
          <w:rFonts w:ascii="Times New Roman" w:hAnsi="Times New Roman"/>
        </w:rPr>
      </w:pPr>
      <w:r>
        <w:rPr>
          <w:rStyle w:val="FootnoteReference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Ara wkoll il-Premessi 85 u 75</w:t>
      </w:r>
    </w:p>
  </w:footnote>
  <w:footnote w:id="19">
    <w:p w14:paraId="5679EE2A" w14:textId="2FF59486" w:rsidR="00154258" w:rsidRPr="004E26D5" w:rsidRDefault="00154258" w:rsidP="00B7727B">
      <w:pPr>
        <w:pStyle w:val="FootnoteText"/>
        <w:spacing w:line="240" w:lineRule="auto"/>
        <w:rPr>
          <w:rFonts w:ascii="Times New Roman" w:hAnsi="Times New Roman"/>
        </w:rPr>
      </w:pPr>
      <w:r>
        <w:rPr>
          <w:rStyle w:val="FootnoteReference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Ara wkoll il-Premessa 86.</w:t>
      </w:r>
    </w:p>
  </w:footnote>
  <w:footnote w:id="20">
    <w:p w14:paraId="75F45E17" w14:textId="65C27B84" w:rsidR="00154258" w:rsidRPr="00B75DD6" w:rsidRDefault="00154258">
      <w:pPr>
        <w:pStyle w:val="FootnoteText"/>
        <w:rPr>
          <w:rFonts w:ascii="Times New Roman" w:hAnsi="Times New Roman"/>
        </w:rPr>
      </w:pPr>
      <w:r>
        <w:rPr>
          <w:rStyle w:val="FootnoteReference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Għal aktar dettalji, jekk jogħġbok ara l-Linji Gwida tad-WP29 dwar l-applikazzjoni u l-iffissar ta’ multi amministrattivi, disponibbli hawn: </w:t>
      </w:r>
      <w:hyperlink r:id="rId10">
        <w:r>
          <w:rPr>
            <w:rStyle w:val="Hyperlink"/>
            <w:rFonts w:ascii="Times New Roman" w:hAnsi="Times New Roman"/>
          </w:rPr>
          <w:t>http://ec.europa.eu/newsroom/just/document.cfm?doc_id=47889</w:t>
        </w:r>
      </w:hyperlink>
      <w:r>
        <w:rPr>
          <w:rFonts w:ascii="Times New Roman" w:hAnsi="Times New Roman"/>
        </w:rPr>
        <w:t xml:space="preserve"> </w:t>
      </w:r>
    </w:p>
  </w:footnote>
  <w:footnote w:id="21">
    <w:p w14:paraId="6C96FE2E" w14:textId="4068A15F" w:rsidR="00154258" w:rsidRPr="00FF7FBE" w:rsidRDefault="00154258">
      <w:pPr>
        <w:pStyle w:val="FootnoteText"/>
        <w:rPr>
          <w:rFonts w:ascii="Times New Roman" w:hAnsi="Times New Roman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ascii="Times New Roman" w:hAnsi="Times New Roman"/>
        </w:rPr>
        <w:t>Il-Premessa 85 hi importanti wkoll hawnhekk.</w:t>
      </w:r>
    </w:p>
  </w:footnote>
  <w:footnote w:id="22">
    <w:p w14:paraId="3672B7A6" w14:textId="2859B4E8" w:rsidR="00154258" w:rsidRPr="00451C8B" w:rsidRDefault="00154258">
      <w:pPr>
        <w:pStyle w:val="FootnoteText"/>
        <w:rPr>
          <w:rFonts w:ascii="Times New Roman" w:hAnsi="Times New Roman"/>
        </w:rPr>
      </w:pPr>
      <w:r>
        <w:rPr>
          <w:rStyle w:val="FootnoteReference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Ara l-Premessa 87</w:t>
      </w:r>
    </w:p>
  </w:footnote>
  <w:footnote w:id="23">
    <w:p w14:paraId="5DB8E479" w14:textId="2C874CB9" w:rsidR="00154258" w:rsidRDefault="00154258">
      <w:pPr>
        <w:pStyle w:val="FootnoteText"/>
      </w:pPr>
      <w:r>
        <w:rPr>
          <w:rStyle w:val="FootnoteReference"/>
          <w:rFonts w:ascii="Times New Roman" w:hAnsi="Times New Roman"/>
        </w:rPr>
        <w:footnoteRef/>
      </w:r>
      <w:r>
        <w:rPr>
          <w:rStyle w:val="FootnoteReference"/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Ara l-Linji Gwida tad-WP29 dwar id-DPIAs hawnhekk: </w:t>
      </w:r>
      <w:hyperlink r:id="rId11">
        <w:r>
          <w:rPr>
            <w:rStyle w:val="Hyperlink"/>
            <w:rFonts w:ascii="Times New Roman" w:hAnsi="Times New Roman"/>
          </w:rPr>
          <w:t>http://ec.europa.eu/newsroom/document.cfm?doc_id=44137</w:t>
        </w:r>
      </w:hyperlink>
      <w:r>
        <w:rPr>
          <w:rFonts w:ascii="Times New Roman" w:hAnsi="Times New Roman"/>
        </w:rPr>
        <w:t xml:space="preserve">   </w:t>
      </w:r>
    </w:p>
  </w:footnote>
  <w:footnote w:id="24">
    <w:p w14:paraId="59D19B07" w14:textId="0EA785BF" w:rsidR="00154258" w:rsidRPr="00D66855" w:rsidRDefault="00154258" w:rsidP="00B50D1E">
      <w:pPr>
        <w:pStyle w:val="FootnoteText"/>
        <w:spacing w:line="240" w:lineRule="auto"/>
      </w:pPr>
      <w:r>
        <w:rPr>
          <w:rStyle w:val="FootnoteReference"/>
          <w:rFonts w:ascii="Times New Roman" w:hAnsi="Times New Roman"/>
        </w:rPr>
        <w:footnoteRef/>
      </w:r>
      <w:r>
        <w:rPr>
          <w:rStyle w:val="FootnoteReference"/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Ta’ min jinnota li </w:t>
      </w:r>
      <w:r w:rsidR="00BD591B" w:rsidRPr="00BD591B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tal-logg li tiffaċilita l-awditjar ta’, pereżempju, ħżin, modifiki jew tħassir ta’ </w:t>
      </w:r>
      <w:r w:rsidR="00BD591B" w:rsidRPr="00BD591B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wkoll tista’ tikkwalifika bħala </w:t>
      </w:r>
      <w:r w:rsidR="00BD591B" w:rsidRPr="00BD591B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personali relatata mal-persuna li tniedi l-operazzjoni rispettiva ta’ proċessar. </w:t>
      </w:r>
    </w:p>
  </w:footnote>
  <w:footnote w:id="25">
    <w:p w14:paraId="6F4B0107" w14:textId="36F2CC42" w:rsidR="00154258" w:rsidRPr="00B75DD6" w:rsidRDefault="00154258">
      <w:pPr>
        <w:pStyle w:val="FootnoteText"/>
        <w:rPr>
          <w:rFonts w:ascii="Times New Roman" w:hAnsi="Times New Roman"/>
        </w:rPr>
      </w:pPr>
      <w:r>
        <w:rPr>
          <w:rStyle w:val="FootnoteReference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Ara r-Regolament Nru 1182/71 li jiddetermina r-regoli applikabbli għall-perjodi, għad-dati u għat-termini perentorji, disponibbli fuq: </w:t>
      </w:r>
      <w:hyperlink r:id="rId12">
        <w:r>
          <w:rPr>
            <w:rStyle w:val="Hyperlink"/>
            <w:rFonts w:ascii="Times New Roman" w:hAnsi="Times New Roman"/>
          </w:rPr>
          <w:t>http://eur-lex.europa.eu/legal-content/MT/TXT/HTML/?uri=CELEX:31971R1182&amp;from=MT</w:t>
        </w:r>
      </w:hyperlink>
      <w:r>
        <w:rPr>
          <w:rFonts w:ascii="Times New Roman" w:hAnsi="Times New Roman"/>
        </w:rPr>
        <w:t xml:space="preserve"> </w:t>
      </w:r>
    </w:p>
  </w:footnote>
  <w:footnote w:id="26">
    <w:p w14:paraId="147FF2A4" w14:textId="3AD38D54" w:rsidR="00154258" w:rsidRPr="00505C5F" w:rsidRDefault="00154258">
      <w:pPr>
        <w:pStyle w:val="FootnoteText"/>
        <w:rPr>
          <w:rFonts w:ascii="Times New Roman" w:hAnsi="Times New Roman"/>
        </w:rPr>
      </w:pPr>
      <w:r>
        <w:rPr>
          <w:rStyle w:val="FootnoteReference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Ara wkoll il-Premessa 79.</w:t>
      </w:r>
    </w:p>
  </w:footnote>
  <w:footnote w:id="27">
    <w:p w14:paraId="2A3C699C" w14:textId="6AC4BEB5" w:rsidR="00154258" w:rsidRPr="00E16CBB" w:rsidRDefault="00154258" w:rsidP="007B1616">
      <w:pPr>
        <w:pStyle w:val="FootnoteText"/>
        <w:spacing w:line="240" w:lineRule="auto"/>
        <w:rPr>
          <w:rFonts w:ascii="Times New Roman" w:hAnsi="Times New Roman"/>
        </w:rPr>
      </w:pPr>
      <w:r>
        <w:rPr>
          <w:rStyle w:val="FootnoteReference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Ara l-Artikolu 9.</w:t>
      </w:r>
    </w:p>
  </w:footnote>
  <w:footnote w:id="28">
    <w:p w14:paraId="02364438" w14:textId="194D3345" w:rsidR="00154258" w:rsidRPr="00706D8E" w:rsidRDefault="00154258" w:rsidP="007B1616">
      <w:pPr>
        <w:pStyle w:val="FootnoteText"/>
        <w:spacing w:line="240" w:lineRule="auto"/>
        <w:rPr>
          <w:rFonts w:ascii="Times New Roman" w:hAnsi="Times New Roman"/>
        </w:rPr>
      </w:pPr>
      <w:r>
        <w:rPr>
          <w:rStyle w:val="FootnoteReference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Ara l-Artikolu 4(23)</w:t>
      </w:r>
    </w:p>
  </w:footnote>
  <w:footnote w:id="29">
    <w:p w14:paraId="1EB29A46" w14:textId="57B9ABD8" w:rsidR="00154258" w:rsidRPr="004D443E" w:rsidRDefault="00154258" w:rsidP="007B1616">
      <w:pPr>
        <w:pStyle w:val="FootnoteText"/>
        <w:spacing w:line="240" w:lineRule="auto"/>
        <w:rPr>
          <w:rFonts w:ascii="Times New Roman" w:hAnsi="Times New Roman"/>
        </w:rPr>
      </w:pPr>
      <w:r>
        <w:rPr>
          <w:rStyle w:val="FootnoteReference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Ara wkoll il-Premessa 122.</w:t>
      </w:r>
    </w:p>
  </w:footnote>
  <w:footnote w:id="30">
    <w:p w14:paraId="43CEDD76" w14:textId="5FB59246" w:rsidR="00154258" w:rsidRDefault="00154258" w:rsidP="007B1616">
      <w:pPr>
        <w:pStyle w:val="FootnoteText"/>
        <w:spacing w:line="240" w:lineRule="auto"/>
      </w:pPr>
      <w:r>
        <w:rPr>
          <w:rStyle w:val="FootnoteReference"/>
        </w:rPr>
        <w:footnoteRef/>
      </w:r>
      <w:r>
        <w:t xml:space="preserve"> </w:t>
      </w:r>
      <w:r>
        <w:rPr>
          <w:rFonts w:ascii="Times New Roman" w:hAnsi="Times New Roman"/>
        </w:rPr>
        <w:t xml:space="preserve">Ara l-Linji Gwida tad-WP29 għall-identifikazzjoni tal-awtorità superviżorja prinċipali ta’ kontrollur jew ta’ proċessur, disponibbli fuq </w:t>
      </w:r>
      <w:hyperlink r:id="rId13">
        <w:r>
          <w:rPr>
            <w:rStyle w:val="Hyperlink"/>
            <w:rFonts w:ascii="Times New Roman" w:hAnsi="Times New Roman"/>
          </w:rPr>
          <w:t>http://ec.europa.eu/newsroom/document.cfm?doc_id=44102</w:t>
        </w:r>
      </w:hyperlink>
    </w:p>
  </w:footnote>
  <w:footnote w:id="31">
    <w:p w14:paraId="30393248" w14:textId="6F01E0AA" w:rsidR="00154258" w:rsidRDefault="00154258" w:rsidP="007B1616">
      <w:pPr>
        <w:pStyle w:val="FootnoteText"/>
        <w:spacing w:line="240" w:lineRule="auto"/>
      </w:pPr>
      <w:r>
        <w:rPr>
          <w:rStyle w:val="FootnoteReference"/>
        </w:rPr>
        <w:footnoteRef/>
      </w:r>
      <w:r>
        <w:t xml:space="preserve"> </w:t>
      </w:r>
      <w:r>
        <w:rPr>
          <w:rFonts w:ascii="Times New Roman" w:hAnsi="Times New Roman"/>
        </w:rPr>
        <w:t>Lista ta’ dettalji ta’ kuntatt għall-awtoritajiet nazzjonali Ewropej kollha għall-protezzjoni tad-</w:t>
      </w:r>
      <w:r w:rsidR="00BD591B" w:rsidRPr="00BD591B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tista’ tinstab fuq: </w:t>
      </w:r>
      <w:hyperlink r:id="rId14">
        <w:r>
          <w:rPr>
            <w:rStyle w:val="Hyperlink"/>
            <w:rFonts w:ascii="Times New Roman" w:hAnsi="Times New Roman"/>
          </w:rPr>
          <w:t>http://ec.europa.eu/justice/</w:t>
        </w:r>
        <w:r w:rsidR="00BD591B" w:rsidRPr="00BD591B">
          <w:rPr>
            <w:rStyle w:val="Hyperlink"/>
            <w:rFonts w:ascii="Times New Roman" w:hAnsi="Times New Roman"/>
            <w:i/>
          </w:rPr>
          <w:t>data</w:t>
        </w:r>
        <w:r>
          <w:rPr>
            <w:rStyle w:val="Hyperlink"/>
            <w:rFonts w:ascii="Times New Roman" w:hAnsi="Times New Roman"/>
          </w:rPr>
          <w:t>-protection/bodies/authorities/index_mt.htm</w:t>
        </w:r>
      </w:hyperlink>
    </w:p>
  </w:footnote>
  <w:footnote w:id="32">
    <w:p w14:paraId="52CFA661" w14:textId="4D0DEF83" w:rsidR="00154258" w:rsidRPr="00D54F58" w:rsidRDefault="00154258" w:rsidP="00CB03BC">
      <w:pPr>
        <w:pStyle w:val="FootnoteText"/>
        <w:rPr>
          <w:rFonts w:ascii="Times New Roman" w:hAnsi="Times New Roman"/>
        </w:rPr>
      </w:pPr>
      <w:r>
        <w:rPr>
          <w:rStyle w:val="FootnoteReference"/>
        </w:rPr>
        <w:footnoteRef/>
      </w:r>
      <w:r>
        <w:rPr>
          <w:rFonts w:ascii="Times New Roman" w:hAnsi="Times New Roman"/>
        </w:rPr>
        <w:t xml:space="preserve"> Ara wkoll il-Premessi 23 u 24.</w:t>
      </w:r>
    </w:p>
  </w:footnote>
  <w:footnote w:id="33">
    <w:p w14:paraId="032ECA2F" w14:textId="65726265" w:rsidR="00154258" w:rsidRPr="00D54F58" w:rsidRDefault="00154258" w:rsidP="00CB03BC">
      <w:pPr>
        <w:pStyle w:val="FootnoteText"/>
        <w:rPr>
          <w:rFonts w:ascii="Times New Roman" w:hAnsi="Times New Roman"/>
        </w:rPr>
      </w:pPr>
      <w:r>
        <w:rPr>
          <w:rStyle w:val="FootnoteReference"/>
        </w:rPr>
        <w:footnoteRef/>
      </w:r>
      <w:r>
        <w:rPr>
          <w:rFonts w:ascii="Times New Roman" w:hAnsi="Times New Roman"/>
        </w:rPr>
        <w:t xml:space="preserve"> Ara wkoll il-Premessa 25</w:t>
      </w:r>
    </w:p>
  </w:footnote>
  <w:footnote w:id="34">
    <w:p w14:paraId="350F129D" w14:textId="550D37DC" w:rsidR="00154258" w:rsidRPr="00D77406" w:rsidRDefault="00154258" w:rsidP="00CB03BC">
      <w:pPr>
        <w:pStyle w:val="FootnoteText"/>
        <w:rPr>
          <w:rFonts w:ascii="Times New Roman" w:hAnsi="Times New Roman"/>
        </w:rPr>
      </w:pPr>
      <w:r>
        <w:rPr>
          <w:rStyle w:val="FootnoteReference"/>
        </w:rPr>
        <w:footnoteRef/>
      </w:r>
      <w:r>
        <w:rPr>
          <w:rFonts w:ascii="Times New Roman" w:hAnsi="Times New Roman"/>
        </w:rPr>
        <w:t xml:space="preserve"> Ara l-Premessa 80 u l-Artikolu 27</w:t>
      </w:r>
    </w:p>
  </w:footnote>
  <w:footnote w:id="35">
    <w:p w14:paraId="7DAD530B" w14:textId="58D525B8" w:rsidR="00154258" w:rsidRPr="00CD01B9" w:rsidRDefault="00154258">
      <w:pPr>
        <w:pStyle w:val="FootnoteText"/>
        <w:rPr>
          <w:rFonts w:ascii="Times New Roman" w:hAnsi="Times New Roman"/>
        </w:rPr>
      </w:pPr>
      <w:r>
        <w:rPr>
          <w:rStyle w:val="FootnoteReference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WP29, Opinjoni 03/2014 dwar in-notifika ta’ ksur, </w:t>
      </w:r>
      <w:hyperlink r:id="rId15">
        <w:r>
          <w:rPr>
            <w:rStyle w:val="Hyperlink"/>
            <w:rFonts w:ascii="Times New Roman" w:hAnsi="Times New Roman"/>
          </w:rPr>
          <w:t>http://ec.europa.eu/justice/</w:t>
        </w:r>
        <w:r w:rsidR="00BD591B" w:rsidRPr="00BD591B">
          <w:rPr>
            <w:rStyle w:val="Hyperlink"/>
            <w:rFonts w:ascii="Times New Roman" w:hAnsi="Times New Roman"/>
            <w:i/>
          </w:rPr>
          <w:t>data</w:t>
        </w:r>
        <w:r>
          <w:rPr>
            <w:rStyle w:val="Hyperlink"/>
            <w:rFonts w:ascii="Times New Roman" w:hAnsi="Times New Roman"/>
          </w:rPr>
          <w:t>-protection/article-29/documentation/opinion-recommendation/files/2014/wp213_en.pdf</w:t>
        </w:r>
      </w:hyperlink>
      <w:r>
        <w:rPr>
          <w:rFonts w:ascii="Times New Roman" w:hAnsi="Times New Roman"/>
        </w:rPr>
        <w:t xml:space="preserve"> </w:t>
      </w:r>
    </w:p>
  </w:footnote>
  <w:footnote w:id="36">
    <w:p w14:paraId="36E82DDB" w14:textId="5FD80101" w:rsidR="00154258" w:rsidRPr="00CD01B9" w:rsidRDefault="00154258">
      <w:pPr>
        <w:pStyle w:val="FootnoteText"/>
        <w:rPr>
          <w:rFonts w:ascii="Times New Roman" w:hAnsi="Times New Roman"/>
        </w:rPr>
      </w:pPr>
      <w:r>
        <w:rPr>
          <w:rStyle w:val="FootnoteReference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Ara wkoll l-Artikolu 4(1) u (2) tar-Regolament 611/2013.</w:t>
      </w:r>
    </w:p>
  </w:footnote>
  <w:footnote w:id="37">
    <w:p w14:paraId="13D0E8D1" w14:textId="77777777" w:rsidR="00154258" w:rsidRPr="004B5F06" w:rsidRDefault="00154258" w:rsidP="005E2562">
      <w:pPr>
        <w:pStyle w:val="FootnoteText"/>
        <w:spacing w:line="240" w:lineRule="auto"/>
        <w:rPr>
          <w:rFonts w:ascii="Times New Roman" w:hAnsi="Times New Roman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ascii="Times New Roman" w:hAnsi="Times New Roman"/>
        </w:rPr>
        <w:t xml:space="preserve">Ara wkoll il-Premessa 86. </w:t>
      </w:r>
    </w:p>
  </w:footnote>
  <w:footnote w:id="38">
    <w:p w14:paraId="63FFD8A7" w14:textId="6D2209AF" w:rsidR="00154258" w:rsidRPr="004271DA" w:rsidRDefault="00154258">
      <w:pPr>
        <w:pStyle w:val="FootnoteText"/>
        <w:rPr>
          <w:rFonts w:ascii="Times New Roman" w:hAnsi="Times New Roman"/>
        </w:rPr>
      </w:pPr>
      <w:r>
        <w:rPr>
          <w:rStyle w:val="FootnoteReference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Ara l-Linji Gwida tad-WP29 dwar it-trasparenza, li jikkunsidraw il-kwistjoni ta’ sforz sproporzjonat, disponibbli fuq </w:t>
      </w:r>
      <w:hyperlink r:id="rId16">
        <w:r>
          <w:rPr>
            <w:rStyle w:val="Hyperlink"/>
            <w:rFonts w:ascii="Times New Roman" w:hAnsi="Times New Roman"/>
          </w:rPr>
          <w:t>http://ec.europa.eu/newsroom/just/document.cfm?doc_id=48850</w:t>
        </w:r>
      </w:hyperlink>
    </w:p>
  </w:footnote>
  <w:footnote w:id="39">
    <w:p w14:paraId="210123B3" w14:textId="4DF9D7A8" w:rsidR="00154258" w:rsidRPr="00F41888" w:rsidRDefault="00154258">
      <w:pPr>
        <w:pStyle w:val="FootnoteText"/>
        <w:rPr>
          <w:rFonts w:ascii="Times New Roman" w:hAnsi="Times New Roman"/>
        </w:rPr>
      </w:pPr>
      <w:r>
        <w:rPr>
          <w:rStyle w:val="FootnoteReference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Ara l-Artikolu 5(2)</w:t>
      </w:r>
    </w:p>
  </w:footnote>
  <w:footnote w:id="40">
    <w:p w14:paraId="07BB3774" w14:textId="77777777" w:rsidR="00154258" w:rsidRDefault="00154258" w:rsidP="00654F67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rFonts w:ascii="Times New Roman" w:hAnsi="Times New Roman"/>
        </w:rPr>
        <w:t>Ara l-Premessa 75 u l-Premessa 85.</w:t>
      </w:r>
    </w:p>
  </w:footnote>
  <w:footnote w:id="41">
    <w:p w14:paraId="344B0408" w14:textId="6CA0DE97" w:rsidR="00154258" w:rsidRDefault="00154258" w:rsidP="007B1616">
      <w:pPr>
        <w:pStyle w:val="FootnoteText"/>
        <w:spacing w:line="240" w:lineRule="auto"/>
      </w:pPr>
      <w:r>
        <w:rPr>
          <w:rStyle w:val="FootnoteReference"/>
        </w:rPr>
        <w:footnoteRef/>
      </w:r>
      <w:r>
        <w:t xml:space="preserve"> </w:t>
      </w:r>
      <w:r>
        <w:rPr>
          <w:rFonts w:ascii="Times New Roman" w:hAnsi="Times New Roman"/>
        </w:rPr>
        <w:t xml:space="preserve">Ara l-Linji Gwida tad-WP dwar id-DPIAs hawnhekk: </w:t>
      </w:r>
      <w:hyperlink r:id="rId17">
        <w:r>
          <w:rPr>
            <w:rStyle w:val="Hyperlink"/>
            <w:rFonts w:ascii="Times New Roman" w:hAnsi="Times New Roman"/>
          </w:rPr>
          <w:t>http://ec.europa.eu/newsroom/document.cfm?doc_id=44137</w:t>
        </w:r>
      </w:hyperlink>
      <w:r>
        <w:rPr>
          <w:rFonts w:ascii="Times New Roman" w:hAnsi="Times New Roman"/>
        </w:rPr>
        <w:t xml:space="preserve">   </w:t>
      </w:r>
    </w:p>
  </w:footnote>
  <w:footnote w:id="42">
    <w:p w14:paraId="3CE664CC" w14:textId="00E110F5" w:rsidR="00154258" w:rsidRDefault="00154258" w:rsidP="007B1616">
      <w:pPr>
        <w:pStyle w:val="FootnoteText"/>
        <w:spacing w:line="240" w:lineRule="auto"/>
      </w:pPr>
      <w:r>
        <w:rPr>
          <w:rStyle w:val="FootnoteReference"/>
        </w:rPr>
        <w:footnoteRef/>
      </w:r>
      <w:r>
        <w:t xml:space="preserve"> </w:t>
      </w:r>
      <w:r>
        <w:rPr>
          <w:rFonts w:ascii="Times New Roman" w:hAnsi="Times New Roman"/>
        </w:rPr>
        <w:t xml:space="preserve">L-Artikolu 3.2 tar-Regolament 611/2013 jipprovdi gwida dwar il-fatturi li għandhom jiġu kkunsidrati b’rabta man-notifika ta’ ksur fis-settur tas-servizzi tal-komunikazzjoni elettronika, li tista’ tkun siewja fil-kuntest ta’ notifika skont il-GDPR. Ara </w:t>
      </w:r>
      <w:hyperlink r:id="rId18">
        <w:r>
          <w:rPr>
            <w:rStyle w:val="Hyperlink"/>
            <w:rFonts w:ascii="Times New Roman" w:hAnsi="Times New Roman"/>
          </w:rPr>
          <w:t>http://eur-lex.europa.eu/LexUriServ/LexUriServ.do?uri=OJ:L:2013:173:0002:0008:mt:PDF</w:t>
        </w:r>
      </w:hyperlink>
      <w:r>
        <w:rPr>
          <w:rFonts w:ascii="Times New Roman" w:hAnsi="Times New Roman"/>
        </w:rPr>
        <w:t xml:space="preserve"> </w:t>
      </w:r>
    </w:p>
  </w:footnote>
  <w:footnote w:id="43">
    <w:p w14:paraId="6DB5C14B" w14:textId="31BF9AC5" w:rsidR="00154258" w:rsidRDefault="00154258" w:rsidP="00907774">
      <w:pPr>
        <w:pStyle w:val="FootnoteText"/>
        <w:spacing w:line="240" w:lineRule="auto"/>
      </w:pPr>
      <w:r>
        <w:rPr>
          <w:rStyle w:val="FootnoteReference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ENISA, Recommendations for a methodology of the assessment of severity of personal </w:t>
      </w:r>
      <w:r w:rsidR="00BD591B" w:rsidRPr="00BD591B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breaches,  </w:t>
      </w:r>
      <w:hyperlink r:id="rId19">
        <w:r>
          <w:rPr>
            <w:rStyle w:val="Hyperlink"/>
            <w:rFonts w:ascii="Times New Roman" w:hAnsi="Times New Roman"/>
          </w:rPr>
          <w:t>https://www.enisa.europa.eu/publications/dbn-severity</w:t>
        </w:r>
      </w:hyperlink>
      <w:r>
        <w:rPr>
          <w:rFonts w:ascii="Times New Roman" w:hAnsi="Times New Roman"/>
        </w:rPr>
        <w:t xml:space="preserve"> </w:t>
      </w:r>
    </w:p>
  </w:footnote>
  <w:footnote w:id="44">
    <w:p w14:paraId="6AA30ECA" w14:textId="3BDFBF44" w:rsidR="00154258" w:rsidRPr="00BD591B" w:rsidRDefault="00154258" w:rsidP="00916B8F">
      <w:pPr>
        <w:pStyle w:val="FootnoteText"/>
        <w:spacing w:line="240" w:lineRule="auto"/>
      </w:pPr>
      <w:r>
        <w:rPr>
          <w:rStyle w:val="FootnoteReference"/>
          <w:rFonts w:ascii="Times New Roman" w:hAnsi="Times New Roman"/>
        </w:rPr>
        <w:footnoteRef/>
      </w:r>
      <w:r>
        <w:rPr>
          <w:rStyle w:val="FootnoteReference"/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Il-kontrollur jista’ jagħżel li jiddokumenta ksur bħala parti mir-rekord tiegħu tal-attivitajiet ta’ proċessar li jinżamm skont l-artikolu 30. Mhuwiex meħtieġ reġistru separat, dment li l-informazzjoni rilevanti għall-ksur tkun identifikabbli b’mod ċar bħala tali u tkun tista’ tiġi estratta fuq talba.</w:t>
      </w:r>
    </w:p>
  </w:footnote>
  <w:footnote w:id="45">
    <w:p w14:paraId="1DB90335" w14:textId="049E74DA" w:rsidR="00154258" w:rsidRPr="00B75DD6" w:rsidRDefault="00154258">
      <w:pPr>
        <w:pStyle w:val="FootnoteText"/>
        <w:rPr>
          <w:rFonts w:ascii="Times New Roman" w:hAnsi="Times New Roman"/>
        </w:rPr>
      </w:pPr>
      <w:r>
        <w:rPr>
          <w:rStyle w:val="FootnoteReference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Ara l-Artikolu 5</w:t>
      </w:r>
    </w:p>
  </w:footnote>
  <w:footnote w:id="46">
    <w:p w14:paraId="4F32D2FF" w14:textId="66720182" w:rsidR="00154258" w:rsidRPr="00B75DD6" w:rsidRDefault="00154258">
      <w:pPr>
        <w:pStyle w:val="FootnoteText"/>
        <w:rPr>
          <w:rFonts w:ascii="Times New Roman" w:hAnsi="Times New Roman"/>
        </w:rPr>
      </w:pPr>
      <w:r>
        <w:rPr>
          <w:rStyle w:val="FootnoteReference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Ara l-Artikolu 6 kif ukoll l-Artikolu 9.</w:t>
      </w:r>
    </w:p>
  </w:footnote>
  <w:footnote w:id="47">
    <w:p w14:paraId="095E102A" w14:textId="70AE7191" w:rsidR="00154258" w:rsidRPr="00B75DD6" w:rsidRDefault="00154258">
      <w:pPr>
        <w:pStyle w:val="FootnoteText"/>
        <w:rPr>
          <w:rFonts w:ascii="Times New Roman" w:hAnsi="Times New Roman"/>
        </w:rPr>
      </w:pPr>
      <w:r>
        <w:rPr>
          <w:rStyle w:val="FootnoteReference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Ara l-Artikolu 5(1)(e).</w:t>
      </w:r>
    </w:p>
  </w:footnote>
  <w:footnote w:id="48">
    <w:p w14:paraId="720C7BB6" w14:textId="60772C16" w:rsidR="00154258" w:rsidRPr="00A9010A" w:rsidRDefault="00154258" w:rsidP="00907774">
      <w:pPr>
        <w:pStyle w:val="FootnoteText"/>
        <w:spacing w:line="240" w:lineRule="auto"/>
        <w:rPr>
          <w:rFonts w:ascii="Times New Roman" w:hAnsi="Times New Roman"/>
        </w:rPr>
      </w:pPr>
      <w:r>
        <w:rPr>
          <w:rStyle w:val="FootnoteReference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Ara l-Premessa 85</w:t>
      </w:r>
    </w:p>
  </w:footnote>
  <w:footnote w:id="49">
    <w:p w14:paraId="5403DC12" w14:textId="435ED9D1" w:rsidR="00154258" w:rsidRPr="00A9010A" w:rsidRDefault="00154258" w:rsidP="00CB03B8">
      <w:pPr>
        <w:pStyle w:val="FootnoteText"/>
        <w:spacing w:line="240" w:lineRule="auto"/>
        <w:rPr>
          <w:rFonts w:ascii="Times New Roman" w:hAnsi="Times New Roman"/>
        </w:rPr>
      </w:pPr>
      <w:r>
        <w:rPr>
          <w:rStyle w:val="FootnoteReference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Ara l-Linji Gwida tad-WP dwar id-DPOs hawnhekk:</w:t>
      </w:r>
      <w:r>
        <w:t xml:space="preserve"> </w:t>
      </w:r>
      <w:hyperlink r:id="rId20">
        <w:r>
          <w:rPr>
            <w:rStyle w:val="Hyperlink"/>
            <w:rFonts w:ascii="Times New Roman" w:hAnsi="Times New Roman"/>
          </w:rPr>
          <w:t>http://ec.europa.eu/newsroom/just/item-detail.cfm?item_id=50083</w:t>
        </w:r>
      </w:hyperlink>
      <w:r>
        <w:rPr>
          <w:rFonts w:ascii="Times New Roman" w:hAnsi="Times New Roman"/>
        </w:rPr>
        <w:t xml:space="preserve"> </w:t>
      </w:r>
    </w:p>
  </w:footnote>
  <w:footnote w:id="50">
    <w:p w14:paraId="71790E97" w14:textId="7BB4428A" w:rsidR="00154258" w:rsidRPr="00480D6B" w:rsidRDefault="00154258" w:rsidP="00CB03B8">
      <w:pPr>
        <w:pStyle w:val="FootnoteText"/>
        <w:spacing w:line="240" w:lineRule="auto"/>
        <w:rPr>
          <w:rFonts w:ascii="Times New Roman" w:hAnsi="Times New Roman"/>
        </w:rPr>
      </w:pPr>
      <w:r>
        <w:rPr>
          <w:rStyle w:val="FootnoteReference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Ara </w:t>
      </w:r>
      <w:hyperlink r:id="rId21">
        <w:r>
          <w:rPr>
            <w:rStyle w:val="Hyperlink"/>
            <w:rFonts w:ascii="Times New Roman" w:hAnsi="Times New Roman"/>
          </w:rPr>
          <w:t>http://eur-lex.europa.eu/legal-content/MT/TXT/?uri=uriserv%3AOJ.L_.2014.257.01.0073.01.MLT</w:t>
        </w:r>
      </w:hyperlink>
      <w:r>
        <w:rPr>
          <w:rStyle w:val="Hyperlink"/>
          <w:rFonts w:ascii="Times New Roman" w:hAnsi="Times New Roman"/>
        </w:rPr>
        <w:t xml:space="preserve"> </w:t>
      </w:r>
    </w:p>
  </w:footnote>
  <w:footnote w:id="51">
    <w:p w14:paraId="57B6CE70" w14:textId="522078D0" w:rsidR="00154258" w:rsidRPr="00480D6B" w:rsidRDefault="00154258" w:rsidP="00CB03B8">
      <w:pPr>
        <w:pStyle w:val="FootnoteText"/>
        <w:spacing w:line="240" w:lineRule="auto"/>
        <w:rPr>
          <w:rFonts w:ascii="Times New Roman" w:hAnsi="Times New Roman"/>
        </w:rPr>
      </w:pPr>
      <w:r>
        <w:rPr>
          <w:rStyle w:val="FootnoteReference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Ara </w:t>
      </w:r>
      <w:hyperlink r:id="rId22">
        <w:r>
          <w:rPr>
            <w:rStyle w:val="Hyperlink"/>
            <w:rFonts w:ascii="Times New Roman" w:hAnsi="Times New Roman"/>
          </w:rPr>
          <w:t>http://eur-lex.europa.eu/legal-content/MT/TXT/?uri=uriserv:OJ.L_.2016.194.01.0001.01.MLT</w:t>
        </w:r>
      </w:hyperlink>
      <w:r>
        <w:rPr>
          <w:rStyle w:val="Hyperlink"/>
          <w:rFonts w:ascii="Times New Roman" w:hAnsi="Times New Roman"/>
        </w:rPr>
        <w:t xml:space="preserve"> </w:t>
      </w:r>
    </w:p>
  </w:footnote>
  <w:footnote w:id="52">
    <w:p w14:paraId="3DD4F4D8" w14:textId="419F6F9D" w:rsidR="00154258" w:rsidRPr="0043418D" w:rsidRDefault="00154258">
      <w:pPr>
        <w:pStyle w:val="FootnoteText"/>
        <w:rPr>
          <w:sz w:val="23"/>
          <w:szCs w:val="23"/>
        </w:rPr>
      </w:pPr>
      <w:r>
        <w:rPr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Recital 63: </w:t>
      </w:r>
      <w:r>
        <w:rPr>
          <w:rFonts w:ascii="Times New Roman" w:hAnsi="Times New Roman"/>
          <w:i/>
        </w:rPr>
        <w:t>“Id-</w:t>
      </w:r>
      <w:r w:rsidR="00BD591B" w:rsidRPr="00BD591B">
        <w:rPr>
          <w:rFonts w:ascii="Times New Roman" w:hAnsi="Times New Roman"/>
          <w:i/>
        </w:rPr>
        <w:t>data</w:t>
      </w:r>
      <w:r>
        <w:rPr>
          <w:rFonts w:ascii="Times New Roman" w:hAnsi="Times New Roman"/>
          <w:i/>
        </w:rPr>
        <w:t xml:space="preserve"> personali f'bosta każijiet hija kompromessa minħabba dawn l-inċidenti. F'dan il-kuntest, l-awtoritajiet kompetenti u l-awtoritajiet għall-protezzjoni tad-</w:t>
      </w:r>
      <w:r w:rsidR="00BD591B" w:rsidRPr="00BD591B">
        <w:rPr>
          <w:rFonts w:ascii="Times New Roman" w:hAnsi="Times New Roman"/>
          <w:i/>
        </w:rPr>
        <w:t>data</w:t>
      </w:r>
      <w:r>
        <w:rPr>
          <w:rFonts w:ascii="Times New Roman" w:hAnsi="Times New Roman"/>
          <w:i/>
        </w:rPr>
        <w:t xml:space="preserve"> għandhom jikkooperaw u jkollhom skambju tal-informazzjoni dwar il-kwistjonijiet rilevanti kollha biex tiġi ttrattata kwalunkwe vjolazzjoni fir-rigward tad-</w:t>
      </w:r>
      <w:r w:rsidR="00BD591B" w:rsidRPr="00BD591B">
        <w:rPr>
          <w:rFonts w:ascii="Times New Roman" w:hAnsi="Times New Roman"/>
          <w:i/>
        </w:rPr>
        <w:t>data</w:t>
      </w:r>
      <w:r>
        <w:rPr>
          <w:rFonts w:ascii="Times New Roman" w:hAnsi="Times New Roman"/>
          <w:i/>
        </w:rPr>
        <w:t xml:space="preserve"> personali li jirriżultaw minn inċidenti.”</w:t>
      </w:r>
    </w:p>
  </w:footnote>
  <w:footnote w:id="53">
    <w:p w14:paraId="135A21B6" w14:textId="4F66BD86" w:rsidR="00154258" w:rsidRDefault="00154258" w:rsidP="00AF0822">
      <w:pPr>
        <w:pStyle w:val="FootnoteText"/>
        <w:spacing w:line="240" w:lineRule="auto"/>
      </w:pPr>
      <w:r>
        <w:rPr>
          <w:rStyle w:val="FootnoteReference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Fl-10 ta’ Jannar 2017, il-Kummissjoni Ewropea pproponiet Regolament dwar il-Privatezza u l-Komunikazzjonijiet Elettroniċi li se jieħu post id-Direttiva 2009/136/KE u jneħħi r-rekwiżiti ta’ notifika. Madankollu, sakemm din il-proposta tiġi approvata mill-Parlament Ewropew, ir-rekwiżit eżistenti ta’ notifika jibqa’ fis-seħħ, ara</w:t>
      </w:r>
      <w:r>
        <w:t xml:space="preserve"> </w:t>
      </w:r>
      <w:hyperlink r:id="rId23">
        <w:r>
          <w:rPr>
            <w:rStyle w:val="Hyperlink"/>
            <w:rFonts w:ascii="Times New Roman" w:hAnsi="Times New Roman"/>
          </w:rPr>
          <w:t>https://ec.europa.eu/digital-single-market/en/news/proposal-regulation-privacy-and-electronic-communications</w:t>
        </w:r>
      </w:hyperlink>
      <w:r>
        <w:rPr>
          <w:rFonts w:ascii="Times New Roman" w:hAnsi="Times New Roman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6523D0" w14:textId="77777777" w:rsidR="00154258" w:rsidRDefault="0015425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9047A9" w14:textId="77777777" w:rsidR="00154258" w:rsidRDefault="0015425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3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938"/>
      <w:gridCol w:w="1701"/>
    </w:tblGrid>
    <w:tr w:rsidR="00154258" w14:paraId="5A459AAD" w14:textId="77777777" w:rsidTr="00BC0C9C">
      <w:trPr>
        <w:trHeight w:val="983"/>
      </w:trPr>
      <w:tc>
        <w:tcPr>
          <w:tcW w:w="7938" w:type="dxa"/>
        </w:tcPr>
        <w:p w14:paraId="50472F4D" w14:textId="77777777" w:rsidR="00154258" w:rsidRDefault="00154258" w:rsidP="00BC0C9C">
          <w:pPr>
            <w:pStyle w:val="ZDGName"/>
            <w:jc w:val="left"/>
            <w:rPr>
              <w:rFonts w:ascii="Franklin Gothic Medium" w:hAnsi="Franklin Gothic Medium"/>
              <w:sz w:val="28"/>
            </w:rPr>
          </w:pPr>
        </w:p>
        <w:p w14:paraId="55EE8772" w14:textId="68D7D4C7" w:rsidR="00154258" w:rsidRDefault="00154258" w:rsidP="00BC0C9C">
          <w:pPr>
            <w:rPr>
              <w:rFonts w:ascii="Franklin Gothic Medium" w:hAnsi="Franklin Gothic Medium"/>
              <w:sz w:val="28"/>
            </w:rPr>
          </w:pPr>
          <w:r>
            <w:rPr>
              <w:rFonts w:ascii="Franklin Gothic Medium" w:hAnsi="Franklin Gothic Medium"/>
              <w:sz w:val="28"/>
            </w:rPr>
            <w:t>GRUPP TA’ ĦIDMA TAL-ARTIKOLU 29 DWAR IL-PROTEZZJONI TAD-</w:t>
          </w:r>
          <w:r w:rsidR="00BD591B" w:rsidRPr="00BD591B">
            <w:rPr>
              <w:rFonts w:ascii="Franklin Gothic Medium" w:hAnsi="Franklin Gothic Medium"/>
              <w:i/>
              <w:sz w:val="28"/>
            </w:rPr>
            <w:t>DATA</w:t>
          </w:r>
        </w:p>
        <w:p w14:paraId="3ACEFE86" w14:textId="77777777" w:rsidR="00154258" w:rsidRDefault="00154258" w:rsidP="00BC0C9C">
          <w:pPr>
            <w:rPr>
              <w:sz w:val="18"/>
            </w:rPr>
          </w:pPr>
        </w:p>
      </w:tc>
      <w:tc>
        <w:tcPr>
          <w:tcW w:w="1701" w:type="dxa"/>
        </w:tcPr>
        <w:p w14:paraId="320739EA" w14:textId="77777777" w:rsidR="00154258" w:rsidRDefault="00154258" w:rsidP="00BC0C9C">
          <w:bookmarkStart w:id="50" w:name="_MON_1068647884"/>
          <w:bookmarkStart w:id="51" w:name="_MON_1075125593"/>
          <w:bookmarkStart w:id="52" w:name="_MON_1104334729"/>
          <w:bookmarkStart w:id="53" w:name="_MON_1104603406"/>
          <w:bookmarkEnd w:id="50"/>
          <w:bookmarkEnd w:id="51"/>
          <w:bookmarkEnd w:id="52"/>
          <w:bookmarkEnd w:id="53"/>
          <w:r>
            <w:rPr>
              <w:noProof/>
              <w:lang w:val="en-GB" w:eastAsia="en-GB" w:bidi="ar-SA"/>
            </w:rPr>
            <w:drawing>
              <wp:inline distT="0" distB="0" distL="0" distR="0" wp14:anchorId="59215E7B" wp14:editId="70326D52">
                <wp:extent cx="1019175" cy="733425"/>
                <wp:effectExtent l="0" t="0" r="9525" b="9525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19175" cy="733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3B4BC26E" w14:textId="77777777" w:rsidR="00154258" w:rsidRDefault="0015425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C3B95"/>
    <w:multiLevelType w:val="hybridMultilevel"/>
    <w:tmpl w:val="00EA4F5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635A4D"/>
    <w:multiLevelType w:val="hybridMultilevel"/>
    <w:tmpl w:val="FFB2F9D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790396"/>
    <w:multiLevelType w:val="hybridMultilevel"/>
    <w:tmpl w:val="EFE2631A"/>
    <w:lvl w:ilvl="0" w:tplc="ED42A510">
      <w:start w:val="3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20197C"/>
    <w:multiLevelType w:val="hybridMultilevel"/>
    <w:tmpl w:val="6CC8B3A6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2940D6"/>
    <w:multiLevelType w:val="hybridMultilevel"/>
    <w:tmpl w:val="51FA54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8B5D1B"/>
    <w:multiLevelType w:val="hybridMultilevel"/>
    <w:tmpl w:val="401CF784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D29208D"/>
    <w:multiLevelType w:val="hybridMultilevel"/>
    <w:tmpl w:val="145C94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460F34"/>
    <w:multiLevelType w:val="hybridMultilevel"/>
    <w:tmpl w:val="744ABE86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0F">
      <w:start w:val="1"/>
      <w:numFmt w:val="decimal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5F5734"/>
    <w:multiLevelType w:val="hybridMultilevel"/>
    <w:tmpl w:val="66B46C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312FB4"/>
    <w:multiLevelType w:val="hybridMultilevel"/>
    <w:tmpl w:val="B4908CA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A0208D"/>
    <w:multiLevelType w:val="hybridMultilevel"/>
    <w:tmpl w:val="048A7C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F26A07"/>
    <w:multiLevelType w:val="hybridMultilevel"/>
    <w:tmpl w:val="CB40F9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3F577D"/>
    <w:multiLevelType w:val="hybridMultilevel"/>
    <w:tmpl w:val="90FED12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DC35B9"/>
    <w:multiLevelType w:val="hybridMultilevel"/>
    <w:tmpl w:val="61742C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E52AAF"/>
    <w:multiLevelType w:val="hybridMultilevel"/>
    <w:tmpl w:val="A042ABBE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0F">
      <w:start w:val="1"/>
      <w:numFmt w:val="decimal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A71051"/>
    <w:multiLevelType w:val="hybridMultilevel"/>
    <w:tmpl w:val="3D685346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0F">
      <w:start w:val="1"/>
      <w:numFmt w:val="decimal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294709"/>
    <w:multiLevelType w:val="hybridMultilevel"/>
    <w:tmpl w:val="0792AD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9A6AC1"/>
    <w:multiLevelType w:val="hybridMultilevel"/>
    <w:tmpl w:val="799CCEA4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3556F2"/>
    <w:multiLevelType w:val="hybridMultilevel"/>
    <w:tmpl w:val="93FEEC8A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0F">
      <w:start w:val="1"/>
      <w:numFmt w:val="decimal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5917A0"/>
    <w:multiLevelType w:val="hybridMultilevel"/>
    <w:tmpl w:val="0A40849C"/>
    <w:lvl w:ilvl="0" w:tplc="0809000F">
      <w:start w:val="1"/>
      <w:numFmt w:val="decimal"/>
      <w:lvlText w:val="%1."/>
      <w:lvlJc w:val="left"/>
      <w:pPr>
        <w:ind w:left="1068" w:hanging="360"/>
      </w:pPr>
    </w:lvl>
    <w:lvl w:ilvl="1" w:tplc="08090019" w:tentative="1">
      <w:start w:val="1"/>
      <w:numFmt w:val="lowerLetter"/>
      <w:lvlText w:val="%2."/>
      <w:lvlJc w:val="left"/>
      <w:pPr>
        <w:ind w:left="1788" w:hanging="360"/>
      </w:pPr>
    </w:lvl>
    <w:lvl w:ilvl="2" w:tplc="0809001B" w:tentative="1">
      <w:start w:val="1"/>
      <w:numFmt w:val="lowerRoman"/>
      <w:lvlText w:val="%3."/>
      <w:lvlJc w:val="right"/>
      <w:pPr>
        <w:ind w:left="2508" w:hanging="180"/>
      </w:pPr>
    </w:lvl>
    <w:lvl w:ilvl="3" w:tplc="0809000F" w:tentative="1">
      <w:start w:val="1"/>
      <w:numFmt w:val="decimal"/>
      <w:lvlText w:val="%4."/>
      <w:lvlJc w:val="left"/>
      <w:pPr>
        <w:ind w:left="3228" w:hanging="360"/>
      </w:pPr>
    </w:lvl>
    <w:lvl w:ilvl="4" w:tplc="08090019" w:tentative="1">
      <w:start w:val="1"/>
      <w:numFmt w:val="lowerLetter"/>
      <w:lvlText w:val="%5."/>
      <w:lvlJc w:val="left"/>
      <w:pPr>
        <w:ind w:left="3948" w:hanging="360"/>
      </w:pPr>
    </w:lvl>
    <w:lvl w:ilvl="5" w:tplc="0809001B" w:tentative="1">
      <w:start w:val="1"/>
      <w:numFmt w:val="lowerRoman"/>
      <w:lvlText w:val="%6."/>
      <w:lvlJc w:val="right"/>
      <w:pPr>
        <w:ind w:left="4668" w:hanging="180"/>
      </w:pPr>
    </w:lvl>
    <w:lvl w:ilvl="6" w:tplc="0809000F" w:tentative="1">
      <w:start w:val="1"/>
      <w:numFmt w:val="decimal"/>
      <w:lvlText w:val="%7."/>
      <w:lvlJc w:val="left"/>
      <w:pPr>
        <w:ind w:left="5388" w:hanging="360"/>
      </w:pPr>
    </w:lvl>
    <w:lvl w:ilvl="7" w:tplc="08090019" w:tentative="1">
      <w:start w:val="1"/>
      <w:numFmt w:val="lowerLetter"/>
      <w:lvlText w:val="%8."/>
      <w:lvlJc w:val="left"/>
      <w:pPr>
        <w:ind w:left="6108" w:hanging="360"/>
      </w:pPr>
    </w:lvl>
    <w:lvl w:ilvl="8" w:tplc="08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39E0113E"/>
    <w:multiLevelType w:val="hybridMultilevel"/>
    <w:tmpl w:val="73A035A8"/>
    <w:lvl w:ilvl="0" w:tplc="0809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21" w15:restartNumberingAfterBreak="0">
    <w:nsid w:val="3A3074D2"/>
    <w:multiLevelType w:val="hybridMultilevel"/>
    <w:tmpl w:val="A042ABBE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0F">
      <w:start w:val="1"/>
      <w:numFmt w:val="decimal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A394C47"/>
    <w:multiLevelType w:val="hybridMultilevel"/>
    <w:tmpl w:val="9DBA4E1C"/>
    <w:lvl w:ilvl="0" w:tplc="FE0CA2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AB0400A"/>
    <w:multiLevelType w:val="multilevel"/>
    <w:tmpl w:val="E8825182"/>
    <w:lvl w:ilvl="0">
      <w:start w:val="1"/>
      <w:numFmt w:val="upperRoman"/>
      <w:pStyle w:val="Heading1"/>
      <w:lvlText w:val="%1."/>
      <w:lvlJc w:val="left"/>
      <w:pPr>
        <w:ind w:left="426" w:firstLine="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upperLetter"/>
      <w:pStyle w:val="Heading2"/>
      <w:lvlText w:val="%2."/>
      <w:lvlJc w:val="left"/>
      <w:pPr>
        <w:ind w:left="284" w:firstLine="0"/>
      </w:pPr>
      <w:rPr>
        <w:rFonts w:hint="default"/>
        <w:b w:val="0"/>
      </w:rPr>
    </w:lvl>
    <w:lvl w:ilvl="2">
      <w:start w:val="1"/>
      <w:numFmt w:val="decimal"/>
      <w:pStyle w:val="Heading3"/>
      <w:lvlText w:val="%3."/>
      <w:lvlJc w:val="left"/>
      <w:pPr>
        <w:ind w:left="993" w:firstLine="0"/>
      </w:pPr>
      <w:rPr>
        <w:rFonts w:hint="default"/>
      </w:rPr>
    </w:lvl>
    <w:lvl w:ilvl="3">
      <w:start w:val="1"/>
      <w:numFmt w:val="lowerLetter"/>
      <w:pStyle w:val="Heading4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pStyle w:val="Heading5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pStyle w:val="Heading6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pStyle w:val="Heading7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pStyle w:val="Heading8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pStyle w:val="Heading9"/>
      <w:lvlText w:val="(%9)"/>
      <w:lvlJc w:val="left"/>
      <w:pPr>
        <w:ind w:left="5760" w:firstLine="0"/>
      </w:pPr>
      <w:rPr>
        <w:rFonts w:hint="default"/>
      </w:rPr>
    </w:lvl>
  </w:abstractNum>
  <w:abstractNum w:abstractNumId="24" w15:restartNumberingAfterBreak="0">
    <w:nsid w:val="3BCF265F"/>
    <w:multiLevelType w:val="hybridMultilevel"/>
    <w:tmpl w:val="24F09394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0F">
      <w:start w:val="1"/>
      <w:numFmt w:val="decimal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0873230"/>
    <w:multiLevelType w:val="hybridMultilevel"/>
    <w:tmpl w:val="27E026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12F6111"/>
    <w:multiLevelType w:val="hybridMultilevel"/>
    <w:tmpl w:val="45F070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2B0240C"/>
    <w:multiLevelType w:val="hybridMultilevel"/>
    <w:tmpl w:val="0F5235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4E540F7"/>
    <w:multiLevelType w:val="hybridMultilevel"/>
    <w:tmpl w:val="1FCC3A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6230CA"/>
    <w:multiLevelType w:val="hybridMultilevel"/>
    <w:tmpl w:val="A042ABBE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0F">
      <w:start w:val="1"/>
      <w:numFmt w:val="decimal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C02DB1"/>
    <w:multiLevelType w:val="hybridMultilevel"/>
    <w:tmpl w:val="49000548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0F">
      <w:start w:val="1"/>
      <w:numFmt w:val="decimal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88C42AC"/>
    <w:multiLevelType w:val="hybridMultilevel"/>
    <w:tmpl w:val="061CC1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F8A7958"/>
    <w:multiLevelType w:val="hybridMultilevel"/>
    <w:tmpl w:val="22B02C34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FD52A5C"/>
    <w:multiLevelType w:val="hybridMultilevel"/>
    <w:tmpl w:val="CAFE17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CA555A0"/>
    <w:multiLevelType w:val="hybridMultilevel"/>
    <w:tmpl w:val="A042ABBE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0F">
      <w:start w:val="1"/>
      <w:numFmt w:val="decimal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8E1BD6"/>
    <w:multiLevelType w:val="hybridMultilevel"/>
    <w:tmpl w:val="51FE174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5"/>
  </w:num>
  <w:num w:numId="3">
    <w:abstractNumId w:val="6"/>
  </w:num>
  <w:num w:numId="4">
    <w:abstractNumId w:val="20"/>
  </w:num>
  <w:num w:numId="5">
    <w:abstractNumId w:val="8"/>
  </w:num>
  <w:num w:numId="6">
    <w:abstractNumId w:val="1"/>
  </w:num>
  <w:num w:numId="7">
    <w:abstractNumId w:val="15"/>
  </w:num>
  <w:num w:numId="8">
    <w:abstractNumId w:val="2"/>
  </w:num>
  <w:num w:numId="9">
    <w:abstractNumId w:val="14"/>
  </w:num>
  <w:num w:numId="10">
    <w:abstractNumId w:val="32"/>
  </w:num>
  <w:num w:numId="11">
    <w:abstractNumId w:val="12"/>
  </w:num>
  <w:num w:numId="12">
    <w:abstractNumId w:val="11"/>
  </w:num>
  <w:num w:numId="13">
    <w:abstractNumId w:val="31"/>
  </w:num>
  <w:num w:numId="14">
    <w:abstractNumId w:val="5"/>
  </w:num>
  <w:num w:numId="15">
    <w:abstractNumId w:val="13"/>
  </w:num>
  <w:num w:numId="16">
    <w:abstractNumId w:val="26"/>
  </w:num>
  <w:num w:numId="17">
    <w:abstractNumId w:val="24"/>
  </w:num>
  <w:num w:numId="18">
    <w:abstractNumId w:val="28"/>
  </w:num>
  <w:num w:numId="19">
    <w:abstractNumId w:val="35"/>
  </w:num>
  <w:num w:numId="20">
    <w:abstractNumId w:val="9"/>
  </w:num>
  <w:num w:numId="21">
    <w:abstractNumId w:val="34"/>
  </w:num>
  <w:num w:numId="22">
    <w:abstractNumId w:val="29"/>
  </w:num>
  <w:num w:numId="23">
    <w:abstractNumId w:val="21"/>
  </w:num>
  <w:num w:numId="24">
    <w:abstractNumId w:val="19"/>
  </w:num>
  <w:num w:numId="25">
    <w:abstractNumId w:val="0"/>
  </w:num>
  <w:num w:numId="26">
    <w:abstractNumId w:val="7"/>
  </w:num>
  <w:num w:numId="27">
    <w:abstractNumId w:val="18"/>
  </w:num>
  <w:num w:numId="28">
    <w:abstractNumId w:val="30"/>
  </w:num>
  <w:num w:numId="29">
    <w:abstractNumId w:val="17"/>
  </w:num>
  <w:num w:numId="30">
    <w:abstractNumId w:val="3"/>
  </w:num>
  <w:num w:numId="3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3"/>
  </w:num>
  <w:num w:numId="33">
    <w:abstractNumId w:val="27"/>
  </w:num>
  <w:num w:numId="34">
    <w:abstractNumId w:val="22"/>
  </w:num>
  <w:num w:numId="35">
    <w:abstractNumId w:val="4"/>
  </w:num>
  <w:num w:numId="36">
    <w:abstractNumId w:val="16"/>
  </w:num>
  <w:num w:numId="37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it-IT" w:vendorID="64" w:dllVersion="131078" w:nlCheck="1" w:checkStyle="0"/>
  <w:activeWritingStyle w:appName="MSWord" w:lang="en-US" w:vendorID="64" w:dllVersion="131078" w:nlCheck="1" w:checkStyle="1"/>
  <w:activeWritingStyle w:appName="MSWord" w:lang="en-IE" w:vendorID="64" w:dllVersion="131078" w:nlCheck="1" w:checkStyle="1"/>
  <w:activeWritingStyle w:appName="MSWord" w:lang="en-GB" w:vendorID="64" w:dllVersion="131078" w:nlCheck="1" w:checkStyle="1"/>
  <w:activeWritingStyle w:appName="MSWord" w:lang="fr-FR" w:vendorID="64" w:dllVersion="131078" w:nlCheck="1" w:checkStyle="1"/>
  <w:activeWritingStyle w:appName="MSWord" w:lang="da-DK" w:vendorID="64" w:dllVersion="131078" w:nlCheck="1" w:checkStyle="0"/>
  <w:activeWritingStyle w:appName="MSWord" w:lang="nl-NL" w:vendorID="64" w:dllVersion="131078" w:nlCheck="1" w:checkStyle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9011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FB7EFC"/>
    <w:rsid w:val="00000D36"/>
    <w:rsid w:val="000010DC"/>
    <w:rsid w:val="00001FD7"/>
    <w:rsid w:val="00002D06"/>
    <w:rsid w:val="000030D4"/>
    <w:rsid w:val="0000333B"/>
    <w:rsid w:val="00003651"/>
    <w:rsid w:val="00003DE1"/>
    <w:rsid w:val="00004128"/>
    <w:rsid w:val="000043FF"/>
    <w:rsid w:val="00004DEC"/>
    <w:rsid w:val="00006B6C"/>
    <w:rsid w:val="00007E7B"/>
    <w:rsid w:val="00010309"/>
    <w:rsid w:val="00010B46"/>
    <w:rsid w:val="00010C17"/>
    <w:rsid w:val="00010EFE"/>
    <w:rsid w:val="00011DF5"/>
    <w:rsid w:val="0001213C"/>
    <w:rsid w:val="00012BFD"/>
    <w:rsid w:val="0001304D"/>
    <w:rsid w:val="000135B2"/>
    <w:rsid w:val="00013BDC"/>
    <w:rsid w:val="00013EA5"/>
    <w:rsid w:val="0001491E"/>
    <w:rsid w:val="00015A47"/>
    <w:rsid w:val="00015C39"/>
    <w:rsid w:val="00015DC8"/>
    <w:rsid w:val="00016000"/>
    <w:rsid w:val="00016F7E"/>
    <w:rsid w:val="0001726C"/>
    <w:rsid w:val="00017816"/>
    <w:rsid w:val="00017845"/>
    <w:rsid w:val="00017857"/>
    <w:rsid w:val="00020C01"/>
    <w:rsid w:val="00021AD5"/>
    <w:rsid w:val="00021B78"/>
    <w:rsid w:val="0002264B"/>
    <w:rsid w:val="00024381"/>
    <w:rsid w:val="000247A6"/>
    <w:rsid w:val="00024921"/>
    <w:rsid w:val="000249F3"/>
    <w:rsid w:val="00026962"/>
    <w:rsid w:val="00026E53"/>
    <w:rsid w:val="00027330"/>
    <w:rsid w:val="00027444"/>
    <w:rsid w:val="00027BC6"/>
    <w:rsid w:val="00027C51"/>
    <w:rsid w:val="00027D2C"/>
    <w:rsid w:val="00030321"/>
    <w:rsid w:val="00030699"/>
    <w:rsid w:val="00030968"/>
    <w:rsid w:val="00033F51"/>
    <w:rsid w:val="000341AA"/>
    <w:rsid w:val="000343C4"/>
    <w:rsid w:val="00034423"/>
    <w:rsid w:val="00034610"/>
    <w:rsid w:val="00035B4E"/>
    <w:rsid w:val="0003601F"/>
    <w:rsid w:val="000366B3"/>
    <w:rsid w:val="000368AE"/>
    <w:rsid w:val="000368CC"/>
    <w:rsid w:val="00037051"/>
    <w:rsid w:val="0003734E"/>
    <w:rsid w:val="00037745"/>
    <w:rsid w:val="00037756"/>
    <w:rsid w:val="00037CD8"/>
    <w:rsid w:val="000401E1"/>
    <w:rsid w:val="0004054F"/>
    <w:rsid w:val="00040BBC"/>
    <w:rsid w:val="00041721"/>
    <w:rsid w:val="00041F67"/>
    <w:rsid w:val="000421A8"/>
    <w:rsid w:val="00042F5E"/>
    <w:rsid w:val="00043936"/>
    <w:rsid w:val="00043AE7"/>
    <w:rsid w:val="00044EDF"/>
    <w:rsid w:val="00044F51"/>
    <w:rsid w:val="00045044"/>
    <w:rsid w:val="00045351"/>
    <w:rsid w:val="00045704"/>
    <w:rsid w:val="000461CC"/>
    <w:rsid w:val="00046951"/>
    <w:rsid w:val="00046E92"/>
    <w:rsid w:val="00047AA5"/>
    <w:rsid w:val="00047ECC"/>
    <w:rsid w:val="000519BC"/>
    <w:rsid w:val="000531C8"/>
    <w:rsid w:val="000536B1"/>
    <w:rsid w:val="00054B8C"/>
    <w:rsid w:val="00055FB6"/>
    <w:rsid w:val="00056580"/>
    <w:rsid w:val="0005707D"/>
    <w:rsid w:val="0006049A"/>
    <w:rsid w:val="0006062E"/>
    <w:rsid w:val="000615B8"/>
    <w:rsid w:val="0006223B"/>
    <w:rsid w:val="00062A39"/>
    <w:rsid w:val="00062B73"/>
    <w:rsid w:val="00062BAE"/>
    <w:rsid w:val="00063774"/>
    <w:rsid w:val="0006398F"/>
    <w:rsid w:val="00065565"/>
    <w:rsid w:val="00065631"/>
    <w:rsid w:val="00065805"/>
    <w:rsid w:val="00066176"/>
    <w:rsid w:val="000664FE"/>
    <w:rsid w:val="0006793B"/>
    <w:rsid w:val="00067942"/>
    <w:rsid w:val="00067B00"/>
    <w:rsid w:val="00067ED6"/>
    <w:rsid w:val="00067F3F"/>
    <w:rsid w:val="00070BAF"/>
    <w:rsid w:val="00071700"/>
    <w:rsid w:val="00071D6E"/>
    <w:rsid w:val="00071F81"/>
    <w:rsid w:val="00072231"/>
    <w:rsid w:val="0007242A"/>
    <w:rsid w:val="000725C5"/>
    <w:rsid w:val="00072A07"/>
    <w:rsid w:val="00072DA5"/>
    <w:rsid w:val="00072E39"/>
    <w:rsid w:val="00072F19"/>
    <w:rsid w:val="00073A94"/>
    <w:rsid w:val="00074BDF"/>
    <w:rsid w:val="00074FA2"/>
    <w:rsid w:val="0007568F"/>
    <w:rsid w:val="00075DEB"/>
    <w:rsid w:val="00076DC7"/>
    <w:rsid w:val="00077F66"/>
    <w:rsid w:val="00080177"/>
    <w:rsid w:val="00080EE4"/>
    <w:rsid w:val="00081988"/>
    <w:rsid w:val="00081AD7"/>
    <w:rsid w:val="0008293D"/>
    <w:rsid w:val="00083505"/>
    <w:rsid w:val="0008381A"/>
    <w:rsid w:val="00083995"/>
    <w:rsid w:val="00083B7D"/>
    <w:rsid w:val="00084256"/>
    <w:rsid w:val="0008460A"/>
    <w:rsid w:val="00084EAD"/>
    <w:rsid w:val="000853A3"/>
    <w:rsid w:val="0008569D"/>
    <w:rsid w:val="00085DBB"/>
    <w:rsid w:val="00086A2B"/>
    <w:rsid w:val="00086AF3"/>
    <w:rsid w:val="00086D7B"/>
    <w:rsid w:val="000873B3"/>
    <w:rsid w:val="000873C4"/>
    <w:rsid w:val="00087518"/>
    <w:rsid w:val="000908D0"/>
    <w:rsid w:val="00090A13"/>
    <w:rsid w:val="00090C9F"/>
    <w:rsid w:val="00091235"/>
    <w:rsid w:val="0009156D"/>
    <w:rsid w:val="00091E76"/>
    <w:rsid w:val="000923C5"/>
    <w:rsid w:val="00092B26"/>
    <w:rsid w:val="00093D24"/>
    <w:rsid w:val="000947F8"/>
    <w:rsid w:val="00095012"/>
    <w:rsid w:val="00095737"/>
    <w:rsid w:val="0009671F"/>
    <w:rsid w:val="000967E1"/>
    <w:rsid w:val="0009699B"/>
    <w:rsid w:val="00096DDD"/>
    <w:rsid w:val="00097654"/>
    <w:rsid w:val="0009767B"/>
    <w:rsid w:val="00097E7F"/>
    <w:rsid w:val="000A0536"/>
    <w:rsid w:val="000A0A69"/>
    <w:rsid w:val="000A0C35"/>
    <w:rsid w:val="000A0F9B"/>
    <w:rsid w:val="000A145C"/>
    <w:rsid w:val="000A2484"/>
    <w:rsid w:val="000A2C14"/>
    <w:rsid w:val="000A34A3"/>
    <w:rsid w:val="000A366D"/>
    <w:rsid w:val="000A416B"/>
    <w:rsid w:val="000A424C"/>
    <w:rsid w:val="000A5041"/>
    <w:rsid w:val="000A50D0"/>
    <w:rsid w:val="000A683D"/>
    <w:rsid w:val="000A6926"/>
    <w:rsid w:val="000A71B2"/>
    <w:rsid w:val="000A742B"/>
    <w:rsid w:val="000A7D7D"/>
    <w:rsid w:val="000B073D"/>
    <w:rsid w:val="000B07FF"/>
    <w:rsid w:val="000B1933"/>
    <w:rsid w:val="000B30F8"/>
    <w:rsid w:val="000B31B7"/>
    <w:rsid w:val="000B3C57"/>
    <w:rsid w:val="000B43BE"/>
    <w:rsid w:val="000B4908"/>
    <w:rsid w:val="000B4AD0"/>
    <w:rsid w:val="000B52E2"/>
    <w:rsid w:val="000B5A1E"/>
    <w:rsid w:val="000B5BFC"/>
    <w:rsid w:val="000B6093"/>
    <w:rsid w:val="000B721E"/>
    <w:rsid w:val="000B7392"/>
    <w:rsid w:val="000B7AED"/>
    <w:rsid w:val="000C047F"/>
    <w:rsid w:val="000C0C2D"/>
    <w:rsid w:val="000C12E7"/>
    <w:rsid w:val="000C13B4"/>
    <w:rsid w:val="000C1CDE"/>
    <w:rsid w:val="000C3617"/>
    <w:rsid w:val="000C3A22"/>
    <w:rsid w:val="000C4D23"/>
    <w:rsid w:val="000C6311"/>
    <w:rsid w:val="000C63B5"/>
    <w:rsid w:val="000C6B47"/>
    <w:rsid w:val="000C7FCC"/>
    <w:rsid w:val="000D0CB1"/>
    <w:rsid w:val="000D1676"/>
    <w:rsid w:val="000D1AFC"/>
    <w:rsid w:val="000D1DDE"/>
    <w:rsid w:val="000D2623"/>
    <w:rsid w:val="000D2B75"/>
    <w:rsid w:val="000D301A"/>
    <w:rsid w:val="000D36F1"/>
    <w:rsid w:val="000D3D5F"/>
    <w:rsid w:val="000D5238"/>
    <w:rsid w:val="000D698F"/>
    <w:rsid w:val="000D7284"/>
    <w:rsid w:val="000D7F19"/>
    <w:rsid w:val="000E0113"/>
    <w:rsid w:val="000E0413"/>
    <w:rsid w:val="000E057E"/>
    <w:rsid w:val="000E0677"/>
    <w:rsid w:val="000E0949"/>
    <w:rsid w:val="000E0A56"/>
    <w:rsid w:val="000E1197"/>
    <w:rsid w:val="000E1300"/>
    <w:rsid w:val="000E15A0"/>
    <w:rsid w:val="000E1654"/>
    <w:rsid w:val="000E186A"/>
    <w:rsid w:val="000E1D42"/>
    <w:rsid w:val="000E2120"/>
    <w:rsid w:val="000E256D"/>
    <w:rsid w:val="000E2F6F"/>
    <w:rsid w:val="000E332E"/>
    <w:rsid w:val="000E4773"/>
    <w:rsid w:val="000E5176"/>
    <w:rsid w:val="000E5596"/>
    <w:rsid w:val="000E6304"/>
    <w:rsid w:val="000E745C"/>
    <w:rsid w:val="000E7A5C"/>
    <w:rsid w:val="000F232C"/>
    <w:rsid w:val="000F283F"/>
    <w:rsid w:val="000F2C2A"/>
    <w:rsid w:val="000F2FAD"/>
    <w:rsid w:val="000F4301"/>
    <w:rsid w:val="000F45A2"/>
    <w:rsid w:val="000F5BDB"/>
    <w:rsid w:val="000F6184"/>
    <w:rsid w:val="000F6561"/>
    <w:rsid w:val="000F73C7"/>
    <w:rsid w:val="000F7788"/>
    <w:rsid w:val="000F7A6A"/>
    <w:rsid w:val="0010075E"/>
    <w:rsid w:val="00100A6D"/>
    <w:rsid w:val="00100AD1"/>
    <w:rsid w:val="00101980"/>
    <w:rsid w:val="0010200C"/>
    <w:rsid w:val="001044CB"/>
    <w:rsid w:val="00104758"/>
    <w:rsid w:val="00104B51"/>
    <w:rsid w:val="00104E4F"/>
    <w:rsid w:val="001061B0"/>
    <w:rsid w:val="00106435"/>
    <w:rsid w:val="001065D2"/>
    <w:rsid w:val="001067CE"/>
    <w:rsid w:val="00110533"/>
    <w:rsid w:val="0011081D"/>
    <w:rsid w:val="00110F24"/>
    <w:rsid w:val="00110F92"/>
    <w:rsid w:val="00112592"/>
    <w:rsid w:val="00112684"/>
    <w:rsid w:val="00112DF7"/>
    <w:rsid w:val="001132D6"/>
    <w:rsid w:val="001133DA"/>
    <w:rsid w:val="00113464"/>
    <w:rsid w:val="00113663"/>
    <w:rsid w:val="00113DE5"/>
    <w:rsid w:val="00113F7B"/>
    <w:rsid w:val="0011437A"/>
    <w:rsid w:val="00114808"/>
    <w:rsid w:val="00114DAE"/>
    <w:rsid w:val="00114DBB"/>
    <w:rsid w:val="00114E45"/>
    <w:rsid w:val="0011515A"/>
    <w:rsid w:val="001159E2"/>
    <w:rsid w:val="00115A77"/>
    <w:rsid w:val="0011726F"/>
    <w:rsid w:val="00117863"/>
    <w:rsid w:val="00117E39"/>
    <w:rsid w:val="0012012F"/>
    <w:rsid w:val="0012020A"/>
    <w:rsid w:val="0012027C"/>
    <w:rsid w:val="00120A42"/>
    <w:rsid w:val="001214F2"/>
    <w:rsid w:val="0012187D"/>
    <w:rsid w:val="0012223D"/>
    <w:rsid w:val="001223CD"/>
    <w:rsid w:val="00122887"/>
    <w:rsid w:val="00123833"/>
    <w:rsid w:val="001244DE"/>
    <w:rsid w:val="001245AB"/>
    <w:rsid w:val="001251AE"/>
    <w:rsid w:val="001252F3"/>
    <w:rsid w:val="00125EAF"/>
    <w:rsid w:val="00126506"/>
    <w:rsid w:val="00127167"/>
    <w:rsid w:val="00127216"/>
    <w:rsid w:val="00127367"/>
    <w:rsid w:val="00130FB1"/>
    <w:rsid w:val="0013101E"/>
    <w:rsid w:val="001313A3"/>
    <w:rsid w:val="00131DE7"/>
    <w:rsid w:val="00132ACC"/>
    <w:rsid w:val="00133107"/>
    <w:rsid w:val="00133257"/>
    <w:rsid w:val="001336F9"/>
    <w:rsid w:val="00133AC9"/>
    <w:rsid w:val="00133AD8"/>
    <w:rsid w:val="00133E6D"/>
    <w:rsid w:val="00134187"/>
    <w:rsid w:val="0013456E"/>
    <w:rsid w:val="00135402"/>
    <w:rsid w:val="00135561"/>
    <w:rsid w:val="00135623"/>
    <w:rsid w:val="001365EB"/>
    <w:rsid w:val="00136C50"/>
    <w:rsid w:val="00136E1F"/>
    <w:rsid w:val="00137FB1"/>
    <w:rsid w:val="001414D3"/>
    <w:rsid w:val="001419C2"/>
    <w:rsid w:val="00141BA3"/>
    <w:rsid w:val="00143F15"/>
    <w:rsid w:val="0014410C"/>
    <w:rsid w:val="0014462F"/>
    <w:rsid w:val="00144785"/>
    <w:rsid w:val="00145334"/>
    <w:rsid w:val="00145D06"/>
    <w:rsid w:val="001469D1"/>
    <w:rsid w:val="00146A0C"/>
    <w:rsid w:val="00146F3C"/>
    <w:rsid w:val="001479FC"/>
    <w:rsid w:val="00147A13"/>
    <w:rsid w:val="00150FD3"/>
    <w:rsid w:val="001510A9"/>
    <w:rsid w:val="001519D6"/>
    <w:rsid w:val="00151C6F"/>
    <w:rsid w:val="0015248F"/>
    <w:rsid w:val="0015356B"/>
    <w:rsid w:val="00153D9E"/>
    <w:rsid w:val="00154258"/>
    <w:rsid w:val="00154AA6"/>
    <w:rsid w:val="0015530B"/>
    <w:rsid w:val="00155F58"/>
    <w:rsid w:val="0015674C"/>
    <w:rsid w:val="00156950"/>
    <w:rsid w:val="00157049"/>
    <w:rsid w:val="0015754B"/>
    <w:rsid w:val="001575FC"/>
    <w:rsid w:val="00157E14"/>
    <w:rsid w:val="0016081A"/>
    <w:rsid w:val="001609E9"/>
    <w:rsid w:val="001618B8"/>
    <w:rsid w:val="00161C17"/>
    <w:rsid w:val="00161EB4"/>
    <w:rsid w:val="0016232C"/>
    <w:rsid w:val="0016251D"/>
    <w:rsid w:val="00162775"/>
    <w:rsid w:val="001634DF"/>
    <w:rsid w:val="001638F8"/>
    <w:rsid w:val="00163D2B"/>
    <w:rsid w:val="001644D5"/>
    <w:rsid w:val="00164505"/>
    <w:rsid w:val="001647CE"/>
    <w:rsid w:val="0016508C"/>
    <w:rsid w:val="001658CA"/>
    <w:rsid w:val="00166117"/>
    <w:rsid w:val="001661F2"/>
    <w:rsid w:val="0016667A"/>
    <w:rsid w:val="00166B41"/>
    <w:rsid w:val="0017017D"/>
    <w:rsid w:val="00170F02"/>
    <w:rsid w:val="00174135"/>
    <w:rsid w:val="00174294"/>
    <w:rsid w:val="001752A2"/>
    <w:rsid w:val="0017663F"/>
    <w:rsid w:val="0017670F"/>
    <w:rsid w:val="00177EDD"/>
    <w:rsid w:val="00177F16"/>
    <w:rsid w:val="0018059C"/>
    <w:rsid w:val="00180791"/>
    <w:rsid w:val="00181C3C"/>
    <w:rsid w:val="00182297"/>
    <w:rsid w:val="00184579"/>
    <w:rsid w:val="001855C4"/>
    <w:rsid w:val="00185647"/>
    <w:rsid w:val="00186005"/>
    <w:rsid w:val="00186545"/>
    <w:rsid w:val="00186F31"/>
    <w:rsid w:val="001879A2"/>
    <w:rsid w:val="001907DC"/>
    <w:rsid w:val="00190C05"/>
    <w:rsid w:val="0019179A"/>
    <w:rsid w:val="00191B1C"/>
    <w:rsid w:val="00192C24"/>
    <w:rsid w:val="00192F42"/>
    <w:rsid w:val="001931FF"/>
    <w:rsid w:val="00193828"/>
    <w:rsid w:val="001939EF"/>
    <w:rsid w:val="00193D3A"/>
    <w:rsid w:val="0019446F"/>
    <w:rsid w:val="00194779"/>
    <w:rsid w:val="00194E9C"/>
    <w:rsid w:val="00195139"/>
    <w:rsid w:val="001955D2"/>
    <w:rsid w:val="00195C72"/>
    <w:rsid w:val="00195E51"/>
    <w:rsid w:val="00195F91"/>
    <w:rsid w:val="0019632B"/>
    <w:rsid w:val="00196EE5"/>
    <w:rsid w:val="00197085"/>
    <w:rsid w:val="0019768A"/>
    <w:rsid w:val="001A0F9C"/>
    <w:rsid w:val="001A173B"/>
    <w:rsid w:val="001A2A35"/>
    <w:rsid w:val="001A363A"/>
    <w:rsid w:val="001A5A18"/>
    <w:rsid w:val="001A5F39"/>
    <w:rsid w:val="001A5FF9"/>
    <w:rsid w:val="001A6CDF"/>
    <w:rsid w:val="001A6DB1"/>
    <w:rsid w:val="001B00F8"/>
    <w:rsid w:val="001B0973"/>
    <w:rsid w:val="001B1847"/>
    <w:rsid w:val="001B1A24"/>
    <w:rsid w:val="001B2353"/>
    <w:rsid w:val="001B2AE1"/>
    <w:rsid w:val="001B335F"/>
    <w:rsid w:val="001B3881"/>
    <w:rsid w:val="001B4738"/>
    <w:rsid w:val="001B4D7C"/>
    <w:rsid w:val="001B54C8"/>
    <w:rsid w:val="001B6611"/>
    <w:rsid w:val="001B6D94"/>
    <w:rsid w:val="001B6E07"/>
    <w:rsid w:val="001B7D04"/>
    <w:rsid w:val="001C089E"/>
    <w:rsid w:val="001C155E"/>
    <w:rsid w:val="001C1CA4"/>
    <w:rsid w:val="001C28BC"/>
    <w:rsid w:val="001C294C"/>
    <w:rsid w:val="001C4831"/>
    <w:rsid w:val="001C4895"/>
    <w:rsid w:val="001C509C"/>
    <w:rsid w:val="001C53CA"/>
    <w:rsid w:val="001C581C"/>
    <w:rsid w:val="001C6175"/>
    <w:rsid w:val="001C77D4"/>
    <w:rsid w:val="001D054D"/>
    <w:rsid w:val="001D0748"/>
    <w:rsid w:val="001D0B59"/>
    <w:rsid w:val="001D0BED"/>
    <w:rsid w:val="001D124B"/>
    <w:rsid w:val="001D1748"/>
    <w:rsid w:val="001D1763"/>
    <w:rsid w:val="001D20F6"/>
    <w:rsid w:val="001D22CC"/>
    <w:rsid w:val="001D2B67"/>
    <w:rsid w:val="001D4983"/>
    <w:rsid w:val="001D4EA2"/>
    <w:rsid w:val="001D519F"/>
    <w:rsid w:val="001D59B3"/>
    <w:rsid w:val="001D5C61"/>
    <w:rsid w:val="001D6EFA"/>
    <w:rsid w:val="001D77D6"/>
    <w:rsid w:val="001D790B"/>
    <w:rsid w:val="001D7B26"/>
    <w:rsid w:val="001E024C"/>
    <w:rsid w:val="001E1E46"/>
    <w:rsid w:val="001E207C"/>
    <w:rsid w:val="001E27B6"/>
    <w:rsid w:val="001E2901"/>
    <w:rsid w:val="001E43B2"/>
    <w:rsid w:val="001E4E11"/>
    <w:rsid w:val="001E588E"/>
    <w:rsid w:val="001E5A4A"/>
    <w:rsid w:val="001E5C9A"/>
    <w:rsid w:val="001E66D1"/>
    <w:rsid w:val="001E6F41"/>
    <w:rsid w:val="001E756B"/>
    <w:rsid w:val="001E7C83"/>
    <w:rsid w:val="001F05AD"/>
    <w:rsid w:val="001F1210"/>
    <w:rsid w:val="001F36B9"/>
    <w:rsid w:val="001F43A1"/>
    <w:rsid w:val="001F4856"/>
    <w:rsid w:val="001F564B"/>
    <w:rsid w:val="001F6F5C"/>
    <w:rsid w:val="001F7079"/>
    <w:rsid w:val="001F710D"/>
    <w:rsid w:val="00201765"/>
    <w:rsid w:val="00201C10"/>
    <w:rsid w:val="00202877"/>
    <w:rsid w:val="00202878"/>
    <w:rsid w:val="00202FCF"/>
    <w:rsid w:val="0020356D"/>
    <w:rsid w:val="00203620"/>
    <w:rsid w:val="00204612"/>
    <w:rsid w:val="0020464E"/>
    <w:rsid w:val="00204CE7"/>
    <w:rsid w:val="002050AC"/>
    <w:rsid w:val="0020520F"/>
    <w:rsid w:val="00206877"/>
    <w:rsid w:val="00206A76"/>
    <w:rsid w:val="00207015"/>
    <w:rsid w:val="00207202"/>
    <w:rsid w:val="0020767B"/>
    <w:rsid w:val="0021084A"/>
    <w:rsid w:val="002111EC"/>
    <w:rsid w:val="00211BAF"/>
    <w:rsid w:val="00212CEB"/>
    <w:rsid w:val="00213713"/>
    <w:rsid w:val="00214669"/>
    <w:rsid w:val="00215694"/>
    <w:rsid w:val="0021701A"/>
    <w:rsid w:val="002174E6"/>
    <w:rsid w:val="00217A15"/>
    <w:rsid w:val="00220030"/>
    <w:rsid w:val="002217DB"/>
    <w:rsid w:val="00221E8C"/>
    <w:rsid w:val="00223E08"/>
    <w:rsid w:val="002256CC"/>
    <w:rsid w:val="00225C2C"/>
    <w:rsid w:val="00226763"/>
    <w:rsid w:val="00227076"/>
    <w:rsid w:val="00231474"/>
    <w:rsid w:val="00231A19"/>
    <w:rsid w:val="00231A57"/>
    <w:rsid w:val="00231EAE"/>
    <w:rsid w:val="00233186"/>
    <w:rsid w:val="0023346F"/>
    <w:rsid w:val="002343EC"/>
    <w:rsid w:val="00234AEF"/>
    <w:rsid w:val="00234BD2"/>
    <w:rsid w:val="00235F53"/>
    <w:rsid w:val="002367FC"/>
    <w:rsid w:val="00236861"/>
    <w:rsid w:val="0023737B"/>
    <w:rsid w:val="00240C5D"/>
    <w:rsid w:val="002410F4"/>
    <w:rsid w:val="00241FF4"/>
    <w:rsid w:val="00242FE0"/>
    <w:rsid w:val="00246368"/>
    <w:rsid w:val="00246803"/>
    <w:rsid w:val="002506AD"/>
    <w:rsid w:val="00250E48"/>
    <w:rsid w:val="002513C5"/>
    <w:rsid w:val="00252956"/>
    <w:rsid w:val="0025310C"/>
    <w:rsid w:val="002533C5"/>
    <w:rsid w:val="00253B1F"/>
    <w:rsid w:val="00253B43"/>
    <w:rsid w:val="00254084"/>
    <w:rsid w:val="00254647"/>
    <w:rsid w:val="0025478B"/>
    <w:rsid w:val="00254BC8"/>
    <w:rsid w:val="00254ED8"/>
    <w:rsid w:val="0025510C"/>
    <w:rsid w:val="002569A3"/>
    <w:rsid w:val="002569C2"/>
    <w:rsid w:val="0025749A"/>
    <w:rsid w:val="00257FEF"/>
    <w:rsid w:val="00260F1F"/>
    <w:rsid w:val="00261F47"/>
    <w:rsid w:val="0026367D"/>
    <w:rsid w:val="00263A16"/>
    <w:rsid w:val="00263B66"/>
    <w:rsid w:val="00264FDD"/>
    <w:rsid w:val="0026517F"/>
    <w:rsid w:val="002657A4"/>
    <w:rsid w:val="002659F3"/>
    <w:rsid w:val="0026741E"/>
    <w:rsid w:val="00270C46"/>
    <w:rsid w:val="00270D69"/>
    <w:rsid w:val="00270F82"/>
    <w:rsid w:val="0027104D"/>
    <w:rsid w:val="0027281B"/>
    <w:rsid w:val="00272DC7"/>
    <w:rsid w:val="00272F8D"/>
    <w:rsid w:val="002743F0"/>
    <w:rsid w:val="002745B2"/>
    <w:rsid w:val="0027554E"/>
    <w:rsid w:val="00275E00"/>
    <w:rsid w:val="00277A5F"/>
    <w:rsid w:val="002803B8"/>
    <w:rsid w:val="0028047F"/>
    <w:rsid w:val="002856BA"/>
    <w:rsid w:val="00286A2A"/>
    <w:rsid w:val="00287BF9"/>
    <w:rsid w:val="00287E37"/>
    <w:rsid w:val="002912AD"/>
    <w:rsid w:val="00291AB2"/>
    <w:rsid w:val="00291DB8"/>
    <w:rsid w:val="00293C42"/>
    <w:rsid w:val="00293D55"/>
    <w:rsid w:val="002954AA"/>
    <w:rsid w:val="00296DE4"/>
    <w:rsid w:val="002975A2"/>
    <w:rsid w:val="002A00C9"/>
    <w:rsid w:val="002A07A5"/>
    <w:rsid w:val="002A0F13"/>
    <w:rsid w:val="002A11DE"/>
    <w:rsid w:val="002A1806"/>
    <w:rsid w:val="002A18FB"/>
    <w:rsid w:val="002A1A1C"/>
    <w:rsid w:val="002A1CBE"/>
    <w:rsid w:val="002A218F"/>
    <w:rsid w:val="002A283D"/>
    <w:rsid w:val="002A2C20"/>
    <w:rsid w:val="002A30DB"/>
    <w:rsid w:val="002A3952"/>
    <w:rsid w:val="002A3C51"/>
    <w:rsid w:val="002A41A2"/>
    <w:rsid w:val="002A428C"/>
    <w:rsid w:val="002A4591"/>
    <w:rsid w:val="002A5D80"/>
    <w:rsid w:val="002A67F2"/>
    <w:rsid w:val="002A6A50"/>
    <w:rsid w:val="002A737E"/>
    <w:rsid w:val="002A7A5C"/>
    <w:rsid w:val="002B0767"/>
    <w:rsid w:val="002B0C76"/>
    <w:rsid w:val="002B13E2"/>
    <w:rsid w:val="002B20BF"/>
    <w:rsid w:val="002B2873"/>
    <w:rsid w:val="002B287A"/>
    <w:rsid w:val="002B3208"/>
    <w:rsid w:val="002B3C39"/>
    <w:rsid w:val="002B3D7F"/>
    <w:rsid w:val="002B3D87"/>
    <w:rsid w:val="002B407B"/>
    <w:rsid w:val="002B5F2A"/>
    <w:rsid w:val="002B6222"/>
    <w:rsid w:val="002B653E"/>
    <w:rsid w:val="002B6692"/>
    <w:rsid w:val="002B6A7C"/>
    <w:rsid w:val="002B6E28"/>
    <w:rsid w:val="002B724F"/>
    <w:rsid w:val="002B7BB4"/>
    <w:rsid w:val="002C02BE"/>
    <w:rsid w:val="002C0C45"/>
    <w:rsid w:val="002C0CEA"/>
    <w:rsid w:val="002C14E7"/>
    <w:rsid w:val="002C1F5B"/>
    <w:rsid w:val="002C3252"/>
    <w:rsid w:val="002C51EC"/>
    <w:rsid w:val="002C585C"/>
    <w:rsid w:val="002C5CC2"/>
    <w:rsid w:val="002C5F79"/>
    <w:rsid w:val="002C61C3"/>
    <w:rsid w:val="002C69EB"/>
    <w:rsid w:val="002C6BB7"/>
    <w:rsid w:val="002C6F9D"/>
    <w:rsid w:val="002C7102"/>
    <w:rsid w:val="002C724B"/>
    <w:rsid w:val="002D0051"/>
    <w:rsid w:val="002D04C5"/>
    <w:rsid w:val="002D0D65"/>
    <w:rsid w:val="002D1142"/>
    <w:rsid w:val="002D1E69"/>
    <w:rsid w:val="002D3007"/>
    <w:rsid w:val="002D3574"/>
    <w:rsid w:val="002D42A2"/>
    <w:rsid w:val="002D6778"/>
    <w:rsid w:val="002D690B"/>
    <w:rsid w:val="002D6E19"/>
    <w:rsid w:val="002D73B7"/>
    <w:rsid w:val="002E051D"/>
    <w:rsid w:val="002E1027"/>
    <w:rsid w:val="002E1033"/>
    <w:rsid w:val="002E1334"/>
    <w:rsid w:val="002E2C0E"/>
    <w:rsid w:val="002E3F82"/>
    <w:rsid w:val="002E61D2"/>
    <w:rsid w:val="002E6E9E"/>
    <w:rsid w:val="002E7D13"/>
    <w:rsid w:val="002F0944"/>
    <w:rsid w:val="002F0A21"/>
    <w:rsid w:val="002F1620"/>
    <w:rsid w:val="002F1718"/>
    <w:rsid w:val="002F2393"/>
    <w:rsid w:val="002F24A0"/>
    <w:rsid w:val="002F2648"/>
    <w:rsid w:val="002F2DF3"/>
    <w:rsid w:val="002F3163"/>
    <w:rsid w:val="002F3D6A"/>
    <w:rsid w:val="002F3EEB"/>
    <w:rsid w:val="002F47C9"/>
    <w:rsid w:val="002F4DF9"/>
    <w:rsid w:val="002F5A71"/>
    <w:rsid w:val="002F601A"/>
    <w:rsid w:val="002F6A6A"/>
    <w:rsid w:val="002F7209"/>
    <w:rsid w:val="002F792C"/>
    <w:rsid w:val="003000F6"/>
    <w:rsid w:val="0030024E"/>
    <w:rsid w:val="00302063"/>
    <w:rsid w:val="0030235F"/>
    <w:rsid w:val="003034D1"/>
    <w:rsid w:val="00304A87"/>
    <w:rsid w:val="00304A9A"/>
    <w:rsid w:val="003057EE"/>
    <w:rsid w:val="00306089"/>
    <w:rsid w:val="00306102"/>
    <w:rsid w:val="00310404"/>
    <w:rsid w:val="0031072F"/>
    <w:rsid w:val="00310993"/>
    <w:rsid w:val="00311643"/>
    <w:rsid w:val="00311CE5"/>
    <w:rsid w:val="003122C4"/>
    <w:rsid w:val="00312D69"/>
    <w:rsid w:val="00312D90"/>
    <w:rsid w:val="00312DD9"/>
    <w:rsid w:val="00312EDC"/>
    <w:rsid w:val="00313358"/>
    <w:rsid w:val="0031436C"/>
    <w:rsid w:val="00315E3E"/>
    <w:rsid w:val="003163F5"/>
    <w:rsid w:val="003164AF"/>
    <w:rsid w:val="003171CE"/>
    <w:rsid w:val="00317EAB"/>
    <w:rsid w:val="00320204"/>
    <w:rsid w:val="00320AA3"/>
    <w:rsid w:val="00320DBA"/>
    <w:rsid w:val="00321E57"/>
    <w:rsid w:val="00322D01"/>
    <w:rsid w:val="00323480"/>
    <w:rsid w:val="003247C2"/>
    <w:rsid w:val="0032487A"/>
    <w:rsid w:val="00324CE9"/>
    <w:rsid w:val="00325594"/>
    <w:rsid w:val="0032633D"/>
    <w:rsid w:val="003265A3"/>
    <w:rsid w:val="00327995"/>
    <w:rsid w:val="00331309"/>
    <w:rsid w:val="00331664"/>
    <w:rsid w:val="00332FD9"/>
    <w:rsid w:val="003338B1"/>
    <w:rsid w:val="003370CF"/>
    <w:rsid w:val="003371E3"/>
    <w:rsid w:val="00337802"/>
    <w:rsid w:val="00337917"/>
    <w:rsid w:val="00340A3A"/>
    <w:rsid w:val="003410FA"/>
    <w:rsid w:val="00341ED0"/>
    <w:rsid w:val="003425B1"/>
    <w:rsid w:val="00342D68"/>
    <w:rsid w:val="00342DA7"/>
    <w:rsid w:val="00343B21"/>
    <w:rsid w:val="003452BA"/>
    <w:rsid w:val="003458E9"/>
    <w:rsid w:val="003474DE"/>
    <w:rsid w:val="00350169"/>
    <w:rsid w:val="00350B89"/>
    <w:rsid w:val="00351613"/>
    <w:rsid w:val="00351A2D"/>
    <w:rsid w:val="003521F3"/>
    <w:rsid w:val="00352536"/>
    <w:rsid w:val="00352DA5"/>
    <w:rsid w:val="00352E04"/>
    <w:rsid w:val="00353000"/>
    <w:rsid w:val="00353B1E"/>
    <w:rsid w:val="00353BFE"/>
    <w:rsid w:val="0035448D"/>
    <w:rsid w:val="00354A98"/>
    <w:rsid w:val="0035615E"/>
    <w:rsid w:val="003576BE"/>
    <w:rsid w:val="00361241"/>
    <w:rsid w:val="00362588"/>
    <w:rsid w:val="003628F5"/>
    <w:rsid w:val="00363B2E"/>
    <w:rsid w:val="00363CC4"/>
    <w:rsid w:val="00364D98"/>
    <w:rsid w:val="003655B7"/>
    <w:rsid w:val="00365750"/>
    <w:rsid w:val="00366A67"/>
    <w:rsid w:val="00370688"/>
    <w:rsid w:val="00370728"/>
    <w:rsid w:val="0037080E"/>
    <w:rsid w:val="00370A42"/>
    <w:rsid w:val="0037117D"/>
    <w:rsid w:val="003725F2"/>
    <w:rsid w:val="003727B0"/>
    <w:rsid w:val="003729FF"/>
    <w:rsid w:val="00372B8C"/>
    <w:rsid w:val="003735D4"/>
    <w:rsid w:val="00374E77"/>
    <w:rsid w:val="00374F63"/>
    <w:rsid w:val="003752B1"/>
    <w:rsid w:val="003757E8"/>
    <w:rsid w:val="00375B26"/>
    <w:rsid w:val="00375BEA"/>
    <w:rsid w:val="0037787C"/>
    <w:rsid w:val="00377A7C"/>
    <w:rsid w:val="003809EF"/>
    <w:rsid w:val="003810E3"/>
    <w:rsid w:val="00382126"/>
    <w:rsid w:val="00382DB9"/>
    <w:rsid w:val="00383155"/>
    <w:rsid w:val="003831F1"/>
    <w:rsid w:val="0038355B"/>
    <w:rsid w:val="003841FA"/>
    <w:rsid w:val="00384912"/>
    <w:rsid w:val="00384DAE"/>
    <w:rsid w:val="0038570C"/>
    <w:rsid w:val="00385C9F"/>
    <w:rsid w:val="0038660F"/>
    <w:rsid w:val="0038670C"/>
    <w:rsid w:val="00386F68"/>
    <w:rsid w:val="003875BC"/>
    <w:rsid w:val="003877A5"/>
    <w:rsid w:val="0039059E"/>
    <w:rsid w:val="00390762"/>
    <w:rsid w:val="003924FC"/>
    <w:rsid w:val="00392619"/>
    <w:rsid w:val="00392A47"/>
    <w:rsid w:val="00392BEE"/>
    <w:rsid w:val="00392FD5"/>
    <w:rsid w:val="003935B1"/>
    <w:rsid w:val="00393980"/>
    <w:rsid w:val="0039458E"/>
    <w:rsid w:val="00394D46"/>
    <w:rsid w:val="00394EE0"/>
    <w:rsid w:val="003957F2"/>
    <w:rsid w:val="00395852"/>
    <w:rsid w:val="003958D8"/>
    <w:rsid w:val="00395BCD"/>
    <w:rsid w:val="00395C68"/>
    <w:rsid w:val="0039664C"/>
    <w:rsid w:val="00397A4C"/>
    <w:rsid w:val="003A0F8F"/>
    <w:rsid w:val="003A0FE3"/>
    <w:rsid w:val="003A16CD"/>
    <w:rsid w:val="003A2FAC"/>
    <w:rsid w:val="003A3452"/>
    <w:rsid w:val="003A4815"/>
    <w:rsid w:val="003A4AAC"/>
    <w:rsid w:val="003A4B93"/>
    <w:rsid w:val="003A590D"/>
    <w:rsid w:val="003A70AF"/>
    <w:rsid w:val="003B0351"/>
    <w:rsid w:val="003B06C3"/>
    <w:rsid w:val="003B0745"/>
    <w:rsid w:val="003B07B0"/>
    <w:rsid w:val="003B1F28"/>
    <w:rsid w:val="003B2E40"/>
    <w:rsid w:val="003B3240"/>
    <w:rsid w:val="003B4696"/>
    <w:rsid w:val="003B4834"/>
    <w:rsid w:val="003B53E1"/>
    <w:rsid w:val="003B5407"/>
    <w:rsid w:val="003B563F"/>
    <w:rsid w:val="003B5D27"/>
    <w:rsid w:val="003B635E"/>
    <w:rsid w:val="003B6666"/>
    <w:rsid w:val="003B6DC0"/>
    <w:rsid w:val="003B78C6"/>
    <w:rsid w:val="003C0592"/>
    <w:rsid w:val="003C0F0D"/>
    <w:rsid w:val="003C10C3"/>
    <w:rsid w:val="003C126A"/>
    <w:rsid w:val="003C2AFB"/>
    <w:rsid w:val="003C3B33"/>
    <w:rsid w:val="003C3F38"/>
    <w:rsid w:val="003C4A56"/>
    <w:rsid w:val="003C5A4A"/>
    <w:rsid w:val="003C7280"/>
    <w:rsid w:val="003C7B59"/>
    <w:rsid w:val="003D0080"/>
    <w:rsid w:val="003D0A79"/>
    <w:rsid w:val="003D118F"/>
    <w:rsid w:val="003D189A"/>
    <w:rsid w:val="003D1EB5"/>
    <w:rsid w:val="003D23DA"/>
    <w:rsid w:val="003D2C71"/>
    <w:rsid w:val="003D3294"/>
    <w:rsid w:val="003D39DF"/>
    <w:rsid w:val="003D3F72"/>
    <w:rsid w:val="003D40B5"/>
    <w:rsid w:val="003D41BC"/>
    <w:rsid w:val="003D540E"/>
    <w:rsid w:val="003D6051"/>
    <w:rsid w:val="003D6147"/>
    <w:rsid w:val="003D61D5"/>
    <w:rsid w:val="003D62E4"/>
    <w:rsid w:val="003D66CB"/>
    <w:rsid w:val="003D79F3"/>
    <w:rsid w:val="003E10F2"/>
    <w:rsid w:val="003E1343"/>
    <w:rsid w:val="003E22DC"/>
    <w:rsid w:val="003E23F1"/>
    <w:rsid w:val="003E2A0A"/>
    <w:rsid w:val="003E2EB8"/>
    <w:rsid w:val="003E2F84"/>
    <w:rsid w:val="003E360B"/>
    <w:rsid w:val="003E3BCE"/>
    <w:rsid w:val="003E3D97"/>
    <w:rsid w:val="003E62F5"/>
    <w:rsid w:val="003E72DA"/>
    <w:rsid w:val="003E768D"/>
    <w:rsid w:val="003F01AE"/>
    <w:rsid w:val="003F0AE9"/>
    <w:rsid w:val="003F0C48"/>
    <w:rsid w:val="003F148B"/>
    <w:rsid w:val="003F194A"/>
    <w:rsid w:val="003F26D4"/>
    <w:rsid w:val="003F2D43"/>
    <w:rsid w:val="003F3001"/>
    <w:rsid w:val="003F48EF"/>
    <w:rsid w:val="003F5E3B"/>
    <w:rsid w:val="003F6255"/>
    <w:rsid w:val="003F62CC"/>
    <w:rsid w:val="003F65D6"/>
    <w:rsid w:val="003F7CF4"/>
    <w:rsid w:val="00400B08"/>
    <w:rsid w:val="004014F5"/>
    <w:rsid w:val="0040236E"/>
    <w:rsid w:val="00402816"/>
    <w:rsid w:val="004045B2"/>
    <w:rsid w:val="00404F82"/>
    <w:rsid w:val="00405F02"/>
    <w:rsid w:val="00406E73"/>
    <w:rsid w:val="0040718A"/>
    <w:rsid w:val="00407485"/>
    <w:rsid w:val="004112F7"/>
    <w:rsid w:val="00411C5F"/>
    <w:rsid w:val="00412356"/>
    <w:rsid w:val="004133A9"/>
    <w:rsid w:val="00413960"/>
    <w:rsid w:val="00413BA1"/>
    <w:rsid w:val="00414A7D"/>
    <w:rsid w:val="0041557C"/>
    <w:rsid w:val="004158EB"/>
    <w:rsid w:val="00415975"/>
    <w:rsid w:val="00416B05"/>
    <w:rsid w:val="00416BBB"/>
    <w:rsid w:val="0041715A"/>
    <w:rsid w:val="004172BD"/>
    <w:rsid w:val="00417A9C"/>
    <w:rsid w:val="004202A3"/>
    <w:rsid w:val="004207B2"/>
    <w:rsid w:val="00420B5F"/>
    <w:rsid w:val="00421A2A"/>
    <w:rsid w:val="0042269D"/>
    <w:rsid w:val="00422F87"/>
    <w:rsid w:val="004248A7"/>
    <w:rsid w:val="004253B7"/>
    <w:rsid w:val="00425F74"/>
    <w:rsid w:val="004271DA"/>
    <w:rsid w:val="00427216"/>
    <w:rsid w:val="00427711"/>
    <w:rsid w:val="00427D4F"/>
    <w:rsid w:val="00427E9E"/>
    <w:rsid w:val="00430275"/>
    <w:rsid w:val="00430871"/>
    <w:rsid w:val="00430B24"/>
    <w:rsid w:val="00430D10"/>
    <w:rsid w:val="0043153C"/>
    <w:rsid w:val="004315AA"/>
    <w:rsid w:val="00431BB4"/>
    <w:rsid w:val="00432185"/>
    <w:rsid w:val="004323E2"/>
    <w:rsid w:val="0043418D"/>
    <w:rsid w:val="00434A46"/>
    <w:rsid w:val="004360B2"/>
    <w:rsid w:val="00436569"/>
    <w:rsid w:val="00437D7C"/>
    <w:rsid w:val="00440331"/>
    <w:rsid w:val="00440684"/>
    <w:rsid w:val="00440A0C"/>
    <w:rsid w:val="00440C2C"/>
    <w:rsid w:val="00440CC1"/>
    <w:rsid w:val="00440E4F"/>
    <w:rsid w:val="00440F76"/>
    <w:rsid w:val="0044143A"/>
    <w:rsid w:val="00443888"/>
    <w:rsid w:val="004439E4"/>
    <w:rsid w:val="00445D5D"/>
    <w:rsid w:val="004474D2"/>
    <w:rsid w:val="00447D91"/>
    <w:rsid w:val="0045060F"/>
    <w:rsid w:val="00450C52"/>
    <w:rsid w:val="00451887"/>
    <w:rsid w:val="00451C8B"/>
    <w:rsid w:val="00451CC8"/>
    <w:rsid w:val="004539EF"/>
    <w:rsid w:val="004542D1"/>
    <w:rsid w:val="004543E8"/>
    <w:rsid w:val="00454A9A"/>
    <w:rsid w:val="00454B08"/>
    <w:rsid w:val="00454F03"/>
    <w:rsid w:val="00455F4F"/>
    <w:rsid w:val="004568B5"/>
    <w:rsid w:val="004600A9"/>
    <w:rsid w:val="00460126"/>
    <w:rsid w:val="004608D4"/>
    <w:rsid w:val="00461250"/>
    <w:rsid w:val="00461561"/>
    <w:rsid w:val="004618C3"/>
    <w:rsid w:val="004619DA"/>
    <w:rsid w:val="00461B49"/>
    <w:rsid w:val="00461D7C"/>
    <w:rsid w:val="00462111"/>
    <w:rsid w:val="00462409"/>
    <w:rsid w:val="004626D3"/>
    <w:rsid w:val="00462F34"/>
    <w:rsid w:val="0046441E"/>
    <w:rsid w:val="00464EC9"/>
    <w:rsid w:val="00464FB5"/>
    <w:rsid w:val="004651F2"/>
    <w:rsid w:val="00467378"/>
    <w:rsid w:val="00467503"/>
    <w:rsid w:val="004707E4"/>
    <w:rsid w:val="00470E12"/>
    <w:rsid w:val="0047161D"/>
    <w:rsid w:val="004716B9"/>
    <w:rsid w:val="004717AA"/>
    <w:rsid w:val="00471C71"/>
    <w:rsid w:val="00471F7E"/>
    <w:rsid w:val="00472605"/>
    <w:rsid w:val="004726CC"/>
    <w:rsid w:val="004731DB"/>
    <w:rsid w:val="0047519E"/>
    <w:rsid w:val="004758F8"/>
    <w:rsid w:val="004760B3"/>
    <w:rsid w:val="004768CF"/>
    <w:rsid w:val="00476C84"/>
    <w:rsid w:val="00476D88"/>
    <w:rsid w:val="00476E8C"/>
    <w:rsid w:val="00480BA1"/>
    <w:rsid w:val="00480D6B"/>
    <w:rsid w:val="0048106C"/>
    <w:rsid w:val="00481138"/>
    <w:rsid w:val="00481C31"/>
    <w:rsid w:val="004831B3"/>
    <w:rsid w:val="0048429E"/>
    <w:rsid w:val="00485620"/>
    <w:rsid w:val="0048574F"/>
    <w:rsid w:val="00485A59"/>
    <w:rsid w:val="00487344"/>
    <w:rsid w:val="00487B9B"/>
    <w:rsid w:val="0049079B"/>
    <w:rsid w:val="0049081D"/>
    <w:rsid w:val="00490FF6"/>
    <w:rsid w:val="004912ED"/>
    <w:rsid w:val="004916F5"/>
    <w:rsid w:val="0049247E"/>
    <w:rsid w:val="00493CB5"/>
    <w:rsid w:val="00493F39"/>
    <w:rsid w:val="00493FEE"/>
    <w:rsid w:val="00494663"/>
    <w:rsid w:val="00494E3E"/>
    <w:rsid w:val="0049547B"/>
    <w:rsid w:val="00495AB1"/>
    <w:rsid w:val="00495BBE"/>
    <w:rsid w:val="0049652E"/>
    <w:rsid w:val="00496EF3"/>
    <w:rsid w:val="00496F43"/>
    <w:rsid w:val="0049765D"/>
    <w:rsid w:val="004977A7"/>
    <w:rsid w:val="00497CE0"/>
    <w:rsid w:val="004A060E"/>
    <w:rsid w:val="004A13F3"/>
    <w:rsid w:val="004A1433"/>
    <w:rsid w:val="004A190D"/>
    <w:rsid w:val="004A1F38"/>
    <w:rsid w:val="004A2095"/>
    <w:rsid w:val="004A333A"/>
    <w:rsid w:val="004A4C1A"/>
    <w:rsid w:val="004A5AA1"/>
    <w:rsid w:val="004A65A3"/>
    <w:rsid w:val="004A7D74"/>
    <w:rsid w:val="004B0529"/>
    <w:rsid w:val="004B0851"/>
    <w:rsid w:val="004B0C2B"/>
    <w:rsid w:val="004B0DDD"/>
    <w:rsid w:val="004B1125"/>
    <w:rsid w:val="004B13A0"/>
    <w:rsid w:val="004B2211"/>
    <w:rsid w:val="004B2569"/>
    <w:rsid w:val="004B25F6"/>
    <w:rsid w:val="004B2E86"/>
    <w:rsid w:val="004B3627"/>
    <w:rsid w:val="004B373F"/>
    <w:rsid w:val="004B394E"/>
    <w:rsid w:val="004B398C"/>
    <w:rsid w:val="004B458D"/>
    <w:rsid w:val="004B48F7"/>
    <w:rsid w:val="004B4AD6"/>
    <w:rsid w:val="004B5F06"/>
    <w:rsid w:val="004B675E"/>
    <w:rsid w:val="004B6CE7"/>
    <w:rsid w:val="004B76AB"/>
    <w:rsid w:val="004B7708"/>
    <w:rsid w:val="004B7720"/>
    <w:rsid w:val="004C0714"/>
    <w:rsid w:val="004C0979"/>
    <w:rsid w:val="004C0CAA"/>
    <w:rsid w:val="004C1B39"/>
    <w:rsid w:val="004C1DF3"/>
    <w:rsid w:val="004C29F6"/>
    <w:rsid w:val="004C2D3C"/>
    <w:rsid w:val="004C2D84"/>
    <w:rsid w:val="004C2FFA"/>
    <w:rsid w:val="004C3525"/>
    <w:rsid w:val="004C4600"/>
    <w:rsid w:val="004C5DE2"/>
    <w:rsid w:val="004C6437"/>
    <w:rsid w:val="004C67BF"/>
    <w:rsid w:val="004C6836"/>
    <w:rsid w:val="004C7260"/>
    <w:rsid w:val="004C79AF"/>
    <w:rsid w:val="004D04C8"/>
    <w:rsid w:val="004D281B"/>
    <w:rsid w:val="004D443E"/>
    <w:rsid w:val="004D6F98"/>
    <w:rsid w:val="004D6FD3"/>
    <w:rsid w:val="004E0339"/>
    <w:rsid w:val="004E0A3E"/>
    <w:rsid w:val="004E0BAC"/>
    <w:rsid w:val="004E1CEE"/>
    <w:rsid w:val="004E26D5"/>
    <w:rsid w:val="004E276F"/>
    <w:rsid w:val="004E3450"/>
    <w:rsid w:val="004E35C0"/>
    <w:rsid w:val="004E43ED"/>
    <w:rsid w:val="004E4730"/>
    <w:rsid w:val="004E5302"/>
    <w:rsid w:val="004E5315"/>
    <w:rsid w:val="004E553B"/>
    <w:rsid w:val="004E5768"/>
    <w:rsid w:val="004E5CD4"/>
    <w:rsid w:val="004E5F0F"/>
    <w:rsid w:val="004E6515"/>
    <w:rsid w:val="004E683A"/>
    <w:rsid w:val="004E7126"/>
    <w:rsid w:val="004E745C"/>
    <w:rsid w:val="004E77DC"/>
    <w:rsid w:val="004E7AE7"/>
    <w:rsid w:val="004E7C35"/>
    <w:rsid w:val="004F00B0"/>
    <w:rsid w:val="004F0286"/>
    <w:rsid w:val="004F111B"/>
    <w:rsid w:val="004F113E"/>
    <w:rsid w:val="004F1F21"/>
    <w:rsid w:val="004F3B96"/>
    <w:rsid w:val="004F4622"/>
    <w:rsid w:val="004F4CC6"/>
    <w:rsid w:val="004F4ED6"/>
    <w:rsid w:val="004F4FB5"/>
    <w:rsid w:val="004F5DCA"/>
    <w:rsid w:val="004F7F78"/>
    <w:rsid w:val="00500987"/>
    <w:rsid w:val="00500B65"/>
    <w:rsid w:val="00501C8C"/>
    <w:rsid w:val="00501DAA"/>
    <w:rsid w:val="005020BB"/>
    <w:rsid w:val="005025EC"/>
    <w:rsid w:val="00503482"/>
    <w:rsid w:val="00505C5F"/>
    <w:rsid w:val="00506D88"/>
    <w:rsid w:val="00510F58"/>
    <w:rsid w:val="00511083"/>
    <w:rsid w:val="00511D4B"/>
    <w:rsid w:val="00513C49"/>
    <w:rsid w:val="0051405B"/>
    <w:rsid w:val="005140D3"/>
    <w:rsid w:val="0051602E"/>
    <w:rsid w:val="00517698"/>
    <w:rsid w:val="00520FD5"/>
    <w:rsid w:val="0052177C"/>
    <w:rsid w:val="00522404"/>
    <w:rsid w:val="0052275F"/>
    <w:rsid w:val="00522C4F"/>
    <w:rsid w:val="005239DA"/>
    <w:rsid w:val="00523B62"/>
    <w:rsid w:val="00524312"/>
    <w:rsid w:val="005244F4"/>
    <w:rsid w:val="0052457E"/>
    <w:rsid w:val="005251E1"/>
    <w:rsid w:val="00526690"/>
    <w:rsid w:val="005266D1"/>
    <w:rsid w:val="005279A8"/>
    <w:rsid w:val="00530190"/>
    <w:rsid w:val="005308C0"/>
    <w:rsid w:val="0053178E"/>
    <w:rsid w:val="00531CE2"/>
    <w:rsid w:val="00531D56"/>
    <w:rsid w:val="00533175"/>
    <w:rsid w:val="00533701"/>
    <w:rsid w:val="005343A4"/>
    <w:rsid w:val="00534CDB"/>
    <w:rsid w:val="0053518F"/>
    <w:rsid w:val="00535214"/>
    <w:rsid w:val="00535BB7"/>
    <w:rsid w:val="00535EF1"/>
    <w:rsid w:val="00536EBC"/>
    <w:rsid w:val="00537334"/>
    <w:rsid w:val="00537A0E"/>
    <w:rsid w:val="00537E70"/>
    <w:rsid w:val="005401DE"/>
    <w:rsid w:val="005407AF"/>
    <w:rsid w:val="0054182E"/>
    <w:rsid w:val="0054185E"/>
    <w:rsid w:val="00541B75"/>
    <w:rsid w:val="005424FE"/>
    <w:rsid w:val="00542E9F"/>
    <w:rsid w:val="00543B26"/>
    <w:rsid w:val="00543E88"/>
    <w:rsid w:val="005443A8"/>
    <w:rsid w:val="00544459"/>
    <w:rsid w:val="0054554F"/>
    <w:rsid w:val="00546623"/>
    <w:rsid w:val="005476CD"/>
    <w:rsid w:val="005508B4"/>
    <w:rsid w:val="00550CA3"/>
    <w:rsid w:val="005511EF"/>
    <w:rsid w:val="00551258"/>
    <w:rsid w:val="0055176B"/>
    <w:rsid w:val="0055258D"/>
    <w:rsid w:val="00553176"/>
    <w:rsid w:val="00553585"/>
    <w:rsid w:val="00553B5E"/>
    <w:rsid w:val="00553CED"/>
    <w:rsid w:val="0055401D"/>
    <w:rsid w:val="005544F3"/>
    <w:rsid w:val="00554A4C"/>
    <w:rsid w:val="005552E5"/>
    <w:rsid w:val="005554E7"/>
    <w:rsid w:val="00555627"/>
    <w:rsid w:val="00556EB9"/>
    <w:rsid w:val="005601EC"/>
    <w:rsid w:val="00561105"/>
    <w:rsid w:val="0056122D"/>
    <w:rsid w:val="00561BF0"/>
    <w:rsid w:val="00562113"/>
    <w:rsid w:val="00562146"/>
    <w:rsid w:val="00562162"/>
    <w:rsid w:val="00562213"/>
    <w:rsid w:val="005629B1"/>
    <w:rsid w:val="00562BC2"/>
    <w:rsid w:val="0056343E"/>
    <w:rsid w:val="00565356"/>
    <w:rsid w:val="005654E5"/>
    <w:rsid w:val="00565652"/>
    <w:rsid w:val="00565F5F"/>
    <w:rsid w:val="00567334"/>
    <w:rsid w:val="0057114D"/>
    <w:rsid w:val="00571386"/>
    <w:rsid w:val="005715A9"/>
    <w:rsid w:val="00571D71"/>
    <w:rsid w:val="00573DFA"/>
    <w:rsid w:val="00573F3C"/>
    <w:rsid w:val="00574041"/>
    <w:rsid w:val="005748C6"/>
    <w:rsid w:val="00574E81"/>
    <w:rsid w:val="0057545E"/>
    <w:rsid w:val="005762F6"/>
    <w:rsid w:val="00580B98"/>
    <w:rsid w:val="005814CA"/>
    <w:rsid w:val="005815F4"/>
    <w:rsid w:val="0058191E"/>
    <w:rsid w:val="005833CB"/>
    <w:rsid w:val="005834A2"/>
    <w:rsid w:val="005835BF"/>
    <w:rsid w:val="005839F8"/>
    <w:rsid w:val="00583D70"/>
    <w:rsid w:val="00584093"/>
    <w:rsid w:val="00584C19"/>
    <w:rsid w:val="005857F1"/>
    <w:rsid w:val="00586579"/>
    <w:rsid w:val="00586F91"/>
    <w:rsid w:val="00587084"/>
    <w:rsid w:val="005872C9"/>
    <w:rsid w:val="00587424"/>
    <w:rsid w:val="00587B00"/>
    <w:rsid w:val="00587E2D"/>
    <w:rsid w:val="00590761"/>
    <w:rsid w:val="00590D2E"/>
    <w:rsid w:val="00591AAC"/>
    <w:rsid w:val="00592700"/>
    <w:rsid w:val="00592DC0"/>
    <w:rsid w:val="0059373D"/>
    <w:rsid w:val="00594B53"/>
    <w:rsid w:val="005958EB"/>
    <w:rsid w:val="00595E0D"/>
    <w:rsid w:val="00596051"/>
    <w:rsid w:val="00596468"/>
    <w:rsid w:val="00596A4B"/>
    <w:rsid w:val="00597EE4"/>
    <w:rsid w:val="005A08AB"/>
    <w:rsid w:val="005A110C"/>
    <w:rsid w:val="005A1754"/>
    <w:rsid w:val="005A1DA1"/>
    <w:rsid w:val="005A20E7"/>
    <w:rsid w:val="005A245C"/>
    <w:rsid w:val="005A289A"/>
    <w:rsid w:val="005A328A"/>
    <w:rsid w:val="005A3355"/>
    <w:rsid w:val="005A3E3A"/>
    <w:rsid w:val="005A41E5"/>
    <w:rsid w:val="005A4337"/>
    <w:rsid w:val="005A4A8D"/>
    <w:rsid w:val="005A5DC1"/>
    <w:rsid w:val="005A67AE"/>
    <w:rsid w:val="005A6FC9"/>
    <w:rsid w:val="005A7E8B"/>
    <w:rsid w:val="005B0055"/>
    <w:rsid w:val="005B131C"/>
    <w:rsid w:val="005B2948"/>
    <w:rsid w:val="005B3F6B"/>
    <w:rsid w:val="005B69AF"/>
    <w:rsid w:val="005B750F"/>
    <w:rsid w:val="005B7893"/>
    <w:rsid w:val="005B79EA"/>
    <w:rsid w:val="005B7CD4"/>
    <w:rsid w:val="005C018A"/>
    <w:rsid w:val="005C04D6"/>
    <w:rsid w:val="005C0804"/>
    <w:rsid w:val="005C09C7"/>
    <w:rsid w:val="005C0C2E"/>
    <w:rsid w:val="005C136B"/>
    <w:rsid w:val="005C1CCF"/>
    <w:rsid w:val="005C2916"/>
    <w:rsid w:val="005C3555"/>
    <w:rsid w:val="005C36AC"/>
    <w:rsid w:val="005C46CD"/>
    <w:rsid w:val="005C4DCD"/>
    <w:rsid w:val="005C5F65"/>
    <w:rsid w:val="005C63BF"/>
    <w:rsid w:val="005C690E"/>
    <w:rsid w:val="005C6942"/>
    <w:rsid w:val="005C6A18"/>
    <w:rsid w:val="005C6B62"/>
    <w:rsid w:val="005C6FEC"/>
    <w:rsid w:val="005C71AE"/>
    <w:rsid w:val="005C746D"/>
    <w:rsid w:val="005C7C2A"/>
    <w:rsid w:val="005D004B"/>
    <w:rsid w:val="005D15ED"/>
    <w:rsid w:val="005D171E"/>
    <w:rsid w:val="005D199A"/>
    <w:rsid w:val="005D1B87"/>
    <w:rsid w:val="005D1BDA"/>
    <w:rsid w:val="005D3404"/>
    <w:rsid w:val="005D3A88"/>
    <w:rsid w:val="005D41F4"/>
    <w:rsid w:val="005D5F21"/>
    <w:rsid w:val="005D7D95"/>
    <w:rsid w:val="005D7E4B"/>
    <w:rsid w:val="005D7EF1"/>
    <w:rsid w:val="005E01FF"/>
    <w:rsid w:val="005E020A"/>
    <w:rsid w:val="005E02EA"/>
    <w:rsid w:val="005E14C8"/>
    <w:rsid w:val="005E1711"/>
    <w:rsid w:val="005E22B4"/>
    <w:rsid w:val="005E2562"/>
    <w:rsid w:val="005E2BB3"/>
    <w:rsid w:val="005E2D97"/>
    <w:rsid w:val="005E2E33"/>
    <w:rsid w:val="005E3411"/>
    <w:rsid w:val="005E3679"/>
    <w:rsid w:val="005E3B1A"/>
    <w:rsid w:val="005E3C49"/>
    <w:rsid w:val="005E3D41"/>
    <w:rsid w:val="005E3EA9"/>
    <w:rsid w:val="005E46EB"/>
    <w:rsid w:val="005E4A2B"/>
    <w:rsid w:val="005E4C22"/>
    <w:rsid w:val="005E4D47"/>
    <w:rsid w:val="005E5798"/>
    <w:rsid w:val="005E5B01"/>
    <w:rsid w:val="005E6148"/>
    <w:rsid w:val="005E71D7"/>
    <w:rsid w:val="005F1182"/>
    <w:rsid w:val="005F1297"/>
    <w:rsid w:val="005F14A4"/>
    <w:rsid w:val="005F1A67"/>
    <w:rsid w:val="005F2268"/>
    <w:rsid w:val="005F2454"/>
    <w:rsid w:val="005F265A"/>
    <w:rsid w:val="005F3790"/>
    <w:rsid w:val="005F3CFE"/>
    <w:rsid w:val="005F3D63"/>
    <w:rsid w:val="005F563B"/>
    <w:rsid w:val="005F5E23"/>
    <w:rsid w:val="005F763A"/>
    <w:rsid w:val="0060139F"/>
    <w:rsid w:val="0060199C"/>
    <w:rsid w:val="00601CB8"/>
    <w:rsid w:val="00603CB0"/>
    <w:rsid w:val="00604EC7"/>
    <w:rsid w:val="00606E9E"/>
    <w:rsid w:val="00606FA2"/>
    <w:rsid w:val="00607291"/>
    <w:rsid w:val="006105D4"/>
    <w:rsid w:val="006120D3"/>
    <w:rsid w:val="00612A9D"/>
    <w:rsid w:val="006143EF"/>
    <w:rsid w:val="0061450C"/>
    <w:rsid w:val="00614C86"/>
    <w:rsid w:val="00614ED9"/>
    <w:rsid w:val="00615267"/>
    <w:rsid w:val="0061570E"/>
    <w:rsid w:val="0061588E"/>
    <w:rsid w:val="00615964"/>
    <w:rsid w:val="00615F8C"/>
    <w:rsid w:val="00616D79"/>
    <w:rsid w:val="006172B0"/>
    <w:rsid w:val="006178CE"/>
    <w:rsid w:val="00617BF0"/>
    <w:rsid w:val="0062051B"/>
    <w:rsid w:val="0062055D"/>
    <w:rsid w:val="00620A5B"/>
    <w:rsid w:val="00621163"/>
    <w:rsid w:val="00621395"/>
    <w:rsid w:val="00621AF7"/>
    <w:rsid w:val="00621CAC"/>
    <w:rsid w:val="00622466"/>
    <w:rsid w:val="00624507"/>
    <w:rsid w:val="00624782"/>
    <w:rsid w:val="00624C17"/>
    <w:rsid w:val="006262B3"/>
    <w:rsid w:val="006265A0"/>
    <w:rsid w:val="00626CA4"/>
    <w:rsid w:val="00627E36"/>
    <w:rsid w:val="00630708"/>
    <w:rsid w:val="00631382"/>
    <w:rsid w:val="00632220"/>
    <w:rsid w:val="00632529"/>
    <w:rsid w:val="0063282E"/>
    <w:rsid w:val="00632DF5"/>
    <w:rsid w:val="0063325C"/>
    <w:rsid w:val="00633C30"/>
    <w:rsid w:val="00633F0C"/>
    <w:rsid w:val="00634511"/>
    <w:rsid w:val="00634C44"/>
    <w:rsid w:val="00634D98"/>
    <w:rsid w:val="00634E9B"/>
    <w:rsid w:val="00636E10"/>
    <w:rsid w:val="00637CC2"/>
    <w:rsid w:val="006400D5"/>
    <w:rsid w:val="006400E7"/>
    <w:rsid w:val="006411CF"/>
    <w:rsid w:val="00641499"/>
    <w:rsid w:val="0064252E"/>
    <w:rsid w:val="006429CB"/>
    <w:rsid w:val="006436A5"/>
    <w:rsid w:val="00644803"/>
    <w:rsid w:val="006451D2"/>
    <w:rsid w:val="006453D7"/>
    <w:rsid w:val="00645CA5"/>
    <w:rsid w:val="00645F7D"/>
    <w:rsid w:val="006466BA"/>
    <w:rsid w:val="00646C76"/>
    <w:rsid w:val="00647499"/>
    <w:rsid w:val="006503E5"/>
    <w:rsid w:val="00650719"/>
    <w:rsid w:val="00650CCF"/>
    <w:rsid w:val="00650DBC"/>
    <w:rsid w:val="00650DC9"/>
    <w:rsid w:val="00650F5C"/>
    <w:rsid w:val="006514A0"/>
    <w:rsid w:val="00651702"/>
    <w:rsid w:val="006519D0"/>
    <w:rsid w:val="00651A35"/>
    <w:rsid w:val="00651F7B"/>
    <w:rsid w:val="00652113"/>
    <w:rsid w:val="006528ED"/>
    <w:rsid w:val="00652B8D"/>
    <w:rsid w:val="006535A6"/>
    <w:rsid w:val="00654BC9"/>
    <w:rsid w:val="00654F46"/>
    <w:rsid w:val="00654F67"/>
    <w:rsid w:val="006551B6"/>
    <w:rsid w:val="00657599"/>
    <w:rsid w:val="0065782A"/>
    <w:rsid w:val="00657D5E"/>
    <w:rsid w:val="006610EA"/>
    <w:rsid w:val="00661F2E"/>
    <w:rsid w:val="0066256B"/>
    <w:rsid w:val="00662B1F"/>
    <w:rsid w:val="00662BC4"/>
    <w:rsid w:val="00663FC3"/>
    <w:rsid w:val="00664E8B"/>
    <w:rsid w:val="006654A1"/>
    <w:rsid w:val="00665B53"/>
    <w:rsid w:val="00666423"/>
    <w:rsid w:val="00667BEB"/>
    <w:rsid w:val="00670650"/>
    <w:rsid w:val="00670DC1"/>
    <w:rsid w:val="00671670"/>
    <w:rsid w:val="00671A2D"/>
    <w:rsid w:val="00671C85"/>
    <w:rsid w:val="006722FF"/>
    <w:rsid w:val="0067253E"/>
    <w:rsid w:val="00672AA7"/>
    <w:rsid w:val="00672F48"/>
    <w:rsid w:val="00673510"/>
    <w:rsid w:val="00673D96"/>
    <w:rsid w:val="00674454"/>
    <w:rsid w:val="00674911"/>
    <w:rsid w:val="00674D7C"/>
    <w:rsid w:val="00675BF0"/>
    <w:rsid w:val="006766F5"/>
    <w:rsid w:val="00676BC3"/>
    <w:rsid w:val="00676F5C"/>
    <w:rsid w:val="006774E8"/>
    <w:rsid w:val="00677FBF"/>
    <w:rsid w:val="00680756"/>
    <w:rsid w:val="00680B27"/>
    <w:rsid w:val="00680DAC"/>
    <w:rsid w:val="00680F5B"/>
    <w:rsid w:val="00681D0F"/>
    <w:rsid w:val="006826F2"/>
    <w:rsid w:val="0068275A"/>
    <w:rsid w:val="00682AE2"/>
    <w:rsid w:val="00682BF8"/>
    <w:rsid w:val="00683B1B"/>
    <w:rsid w:val="0068475A"/>
    <w:rsid w:val="00684E71"/>
    <w:rsid w:val="00685658"/>
    <w:rsid w:val="00685B14"/>
    <w:rsid w:val="006862B6"/>
    <w:rsid w:val="00686F0F"/>
    <w:rsid w:val="00687330"/>
    <w:rsid w:val="00687DB9"/>
    <w:rsid w:val="006909C9"/>
    <w:rsid w:val="0069160C"/>
    <w:rsid w:val="0069194B"/>
    <w:rsid w:val="0069198D"/>
    <w:rsid w:val="00691E78"/>
    <w:rsid w:val="006924F7"/>
    <w:rsid w:val="00692B6C"/>
    <w:rsid w:val="00693695"/>
    <w:rsid w:val="0069426C"/>
    <w:rsid w:val="00694535"/>
    <w:rsid w:val="0069453C"/>
    <w:rsid w:val="00694F5A"/>
    <w:rsid w:val="00695243"/>
    <w:rsid w:val="006957B6"/>
    <w:rsid w:val="00695B88"/>
    <w:rsid w:val="00695C2D"/>
    <w:rsid w:val="00695FBE"/>
    <w:rsid w:val="00696A7D"/>
    <w:rsid w:val="00696D25"/>
    <w:rsid w:val="006977A1"/>
    <w:rsid w:val="006A0466"/>
    <w:rsid w:val="006A0B65"/>
    <w:rsid w:val="006A1765"/>
    <w:rsid w:val="006A1AF7"/>
    <w:rsid w:val="006A338E"/>
    <w:rsid w:val="006A3C3B"/>
    <w:rsid w:val="006A4522"/>
    <w:rsid w:val="006A4924"/>
    <w:rsid w:val="006A4BB1"/>
    <w:rsid w:val="006A5165"/>
    <w:rsid w:val="006A58CC"/>
    <w:rsid w:val="006A5B62"/>
    <w:rsid w:val="006A63AD"/>
    <w:rsid w:val="006A6A6A"/>
    <w:rsid w:val="006B0475"/>
    <w:rsid w:val="006B1C4D"/>
    <w:rsid w:val="006B2108"/>
    <w:rsid w:val="006B296F"/>
    <w:rsid w:val="006B2D4D"/>
    <w:rsid w:val="006B302F"/>
    <w:rsid w:val="006B3039"/>
    <w:rsid w:val="006B36D6"/>
    <w:rsid w:val="006B3BEF"/>
    <w:rsid w:val="006B6CA2"/>
    <w:rsid w:val="006B6FE7"/>
    <w:rsid w:val="006B735D"/>
    <w:rsid w:val="006B73D6"/>
    <w:rsid w:val="006B7BAF"/>
    <w:rsid w:val="006B7D09"/>
    <w:rsid w:val="006C03FC"/>
    <w:rsid w:val="006C06AC"/>
    <w:rsid w:val="006C0D91"/>
    <w:rsid w:val="006C1A03"/>
    <w:rsid w:val="006C1A07"/>
    <w:rsid w:val="006C1C8C"/>
    <w:rsid w:val="006C1E4B"/>
    <w:rsid w:val="006C1F9D"/>
    <w:rsid w:val="006C2B28"/>
    <w:rsid w:val="006C3A12"/>
    <w:rsid w:val="006C5202"/>
    <w:rsid w:val="006C5450"/>
    <w:rsid w:val="006C7300"/>
    <w:rsid w:val="006C76E1"/>
    <w:rsid w:val="006C7A15"/>
    <w:rsid w:val="006C7FF9"/>
    <w:rsid w:val="006D0D15"/>
    <w:rsid w:val="006D1369"/>
    <w:rsid w:val="006D190A"/>
    <w:rsid w:val="006D1B69"/>
    <w:rsid w:val="006D1CA7"/>
    <w:rsid w:val="006D2258"/>
    <w:rsid w:val="006D24D4"/>
    <w:rsid w:val="006D2C08"/>
    <w:rsid w:val="006D2DD6"/>
    <w:rsid w:val="006D4BCB"/>
    <w:rsid w:val="006D4FEF"/>
    <w:rsid w:val="006D5C17"/>
    <w:rsid w:val="006D6699"/>
    <w:rsid w:val="006D66DB"/>
    <w:rsid w:val="006D6BEA"/>
    <w:rsid w:val="006D70B4"/>
    <w:rsid w:val="006D7E8C"/>
    <w:rsid w:val="006E0977"/>
    <w:rsid w:val="006E1082"/>
    <w:rsid w:val="006E10D9"/>
    <w:rsid w:val="006E10EF"/>
    <w:rsid w:val="006E1245"/>
    <w:rsid w:val="006E1D66"/>
    <w:rsid w:val="006E210A"/>
    <w:rsid w:val="006E2B10"/>
    <w:rsid w:val="006E351F"/>
    <w:rsid w:val="006E3990"/>
    <w:rsid w:val="006E3B6B"/>
    <w:rsid w:val="006E3F42"/>
    <w:rsid w:val="006E4044"/>
    <w:rsid w:val="006E4168"/>
    <w:rsid w:val="006E5D6B"/>
    <w:rsid w:val="006E69B9"/>
    <w:rsid w:val="006E7897"/>
    <w:rsid w:val="006F01FB"/>
    <w:rsid w:val="006F06D0"/>
    <w:rsid w:val="006F1401"/>
    <w:rsid w:val="006F1A85"/>
    <w:rsid w:val="006F1D56"/>
    <w:rsid w:val="006F2114"/>
    <w:rsid w:val="006F300D"/>
    <w:rsid w:val="006F3B7C"/>
    <w:rsid w:val="006F4AC7"/>
    <w:rsid w:val="006F64AF"/>
    <w:rsid w:val="006F6D90"/>
    <w:rsid w:val="006F6F0A"/>
    <w:rsid w:val="006F6F0C"/>
    <w:rsid w:val="006F7AF0"/>
    <w:rsid w:val="007009F0"/>
    <w:rsid w:val="00701395"/>
    <w:rsid w:val="00702522"/>
    <w:rsid w:val="00702C51"/>
    <w:rsid w:val="00703583"/>
    <w:rsid w:val="007043C1"/>
    <w:rsid w:val="0070491D"/>
    <w:rsid w:val="007056C9"/>
    <w:rsid w:val="00705885"/>
    <w:rsid w:val="00705DD1"/>
    <w:rsid w:val="0070603A"/>
    <w:rsid w:val="0070633A"/>
    <w:rsid w:val="007067DA"/>
    <w:rsid w:val="007067E3"/>
    <w:rsid w:val="00706857"/>
    <w:rsid w:val="00706D8E"/>
    <w:rsid w:val="00707879"/>
    <w:rsid w:val="007104A9"/>
    <w:rsid w:val="007105A7"/>
    <w:rsid w:val="00710BCC"/>
    <w:rsid w:val="00711C8B"/>
    <w:rsid w:val="00711E02"/>
    <w:rsid w:val="00713959"/>
    <w:rsid w:val="00713BE9"/>
    <w:rsid w:val="00713F1B"/>
    <w:rsid w:val="007160C3"/>
    <w:rsid w:val="0071652C"/>
    <w:rsid w:val="0071663D"/>
    <w:rsid w:val="00716A6B"/>
    <w:rsid w:val="00717510"/>
    <w:rsid w:val="00717B5D"/>
    <w:rsid w:val="00720513"/>
    <w:rsid w:val="00720A1E"/>
    <w:rsid w:val="0072164F"/>
    <w:rsid w:val="0072211C"/>
    <w:rsid w:val="00722864"/>
    <w:rsid w:val="007229D2"/>
    <w:rsid w:val="00722E0E"/>
    <w:rsid w:val="0072515E"/>
    <w:rsid w:val="00725748"/>
    <w:rsid w:val="00726999"/>
    <w:rsid w:val="00727B4A"/>
    <w:rsid w:val="00727DF2"/>
    <w:rsid w:val="00727E65"/>
    <w:rsid w:val="0073010F"/>
    <w:rsid w:val="00731939"/>
    <w:rsid w:val="00732017"/>
    <w:rsid w:val="0073379D"/>
    <w:rsid w:val="0073398C"/>
    <w:rsid w:val="00733FAB"/>
    <w:rsid w:val="007347B9"/>
    <w:rsid w:val="00735F72"/>
    <w:rsid w:val="0073615E"/>
    <w:rsid w:val="007367CB"/>
    <w:rsid w:val="00737B59"/>
    <w:rsid w:val="00741A69"/>
    <w:rsid w:val="00741BD3"/>
    <w:rsid w:val="00742BAF"/>
    <w:rsid w:val="00742FBA"/>
    <w:rsid w:val="0074481D"/>
    <w:rsid w:val="0074495E"/>
    <w:rsid w:val="00744E43"/>
    <w:rsid w:val="00745D98"/>
    <w:rsid w:val="00745D99"/>
    <w:rsid w:val="00746146"/>
    <w:rsid w:val="00746966"/>
    <w:rsid w:val="007472B2"/>
    <w:rsid w:val="00747A7D"/>
    <w:rsid w:val="00750437"/>
    <w:rsid w:val="00752D89"/>
    <w:rsid w:val="00753987"/>
    <w:rsid w:val="00753B63"/>
    <w:rsid w:val="007542A6"/>
    <w:rsid w:val="007543A4"/>
    <w:rsid w:val="007550F3"/>
    <w:rsid w:val="007552E8"/>
    <w:rsid w:val="007559ED"/>
    <w:rsid w:val="00755B8F"/>
    <w:rsid w:val="00756AA4"/>
    <w:rsid w:val="00757B73"/>
    <w:rsid w:val="00760690"/>
    <w:rsid w:val="00760AD3"/>
    <w:rsid w:val="00761C5C"/>
    <w:rsid w:val="007626E6"/>
    <w:rsid w:val="007628F7"/>
    <w:rsid w:val="00762B6A"/>
    <w:rsid w:val="00763D94"/>
    <w:rsid w:val="00763EFA"/>
    <w:rsid w:val="007644B4"/>
    <w:rsid w:val="00764E92"/>
    <w:rsid w:val="00764F91"/>
    <w:rsid w:val="00765106"/>
    <w:rsid w:val="00766117"/>
    <w:rsid w:val="0076615B"/>
    <w:rsid w:val="0076673C"/>
    <w:rsid w:val="00767644"/>
    <w:rsid w:val="00767AB1"/>
    <w:rsid w:val="00767ACF"/>
    <w:rsid w:val="00767D11"/>
    <w:rsid w:val="007703B4"/>
    <w:rsid w:val="0077065F"/>
    <w:rsid w:val="00770B52"/>
    <w:rsid w:val="00770C36"/>
    <w:rsid w:val="00770F61"/>
    <w:rsid w:val="00771017"/>
    <w:rsid w:val="00772090"/>
    <w:rsid w:val="00772A06"/>
    <w:rsid w:val="00773604"/>
    <w:rsid w:val="00774473"/>
    <w:rsid w:val="00774B6A"/>
    <w:rsid w:val="0077565C"/>
    <w:rsid w:val="00775663"/>
    <w:rsid w:val="007766A4"/>
    <w:rsid w:val="007771C9"/>
    <w:rsid w:val="00777D21"/>
    <w:rsid w:val="00780925"/>
    <w:rsid w:val="00781728"/>
    <w:rsid w:val="0078260F"/>
    <w:rsid w:val="0078400C"/>
    <w:rsid w:val="00784056"/>
    <w:rsid w:val="00784B69"/>
    <w:rsid w:val="00784B90"/>
    <w:rsid w:val="00784FED"/>
    <w:rsid w:val="00787460"/>
    <w:rsid w:val="007874A7"/>
    <w:rsid w:val="00787966"/>
    <w:rsid w:val="00787DB8"/>
    <w:rsid w:val="00790024"/>
    <w:rsid w:val="00790A35"/>
    <w:rsid w:val="00790E51"/>
    <w:rsid w:val="0079175A"/>
    <w:rsid w:val="00791B9E"/>
    <w:rsid w:val="007921C7"/>
    <w:rsid w:val="0079417E"/>
    <w:rsid w:val="007947AB"/>
    <w:rsid w:val="00794AE5"/>
    <w:rsid w:val="00794E27"/>
    <w:rsid w:val="00796179"/>
    <w:rsid w:val="0079638E"/>
    <w:rsid w:val="00796911"/>
    <w:rsid w:val="00796B3C"/>
    <w:rsid w:val="007976FD"/>
    <w:rsid w:val="007977C9"/>
    <w:rsid w:val="00797838"/>
    <w:rsid w:val="007A044D"/>
    <w:rsid w:val="007A0B8B"/>
    <w:rsid w:val="007A0C42"/>
    <w:rsid w:val="007A1DBD"/>
    <w:rsid w:val="007A2041"/>
    <w:rsid w:val="007A2BB7"/>
    <w:rsid w:val="007A2CD4"/>
    <w:rsid w:val="007A3DEB"/>
    <w:rsid w:val="007A3E74"/>
    <w:rsid w:val="007A454C"/>
    <w:rsid w:val="007A4BF9"/>
    <w:rsid w:val="007A5854"/>
    <w:rsid w:val="007A5FC6"/>
    <w:rsid w:val="007A726E"/>
    <w:rsid w:val="007A7363"/>
    <w:rsid w:val="007A7673"/>
    <w:rsid w:val="007A7708"/>
    <w:rsid w:val="007A797A"/>
    <w:rsid w:val="007A7A2E"/>
    <w:rsid w:val="007B0DFC"/>
    <w:rsid w:val="007B1616"/>
    <w:rsid w:val="007B1A54"/>
    <w:rsid w:val="007B480B"/>
    <w:rsid w:val="007B4EF4"/>
    <w:rsid w:val="007B5771"/>
    <w:rsid w:val="007B5F53"/>
    <w:rsid w:val="007B69D8"/>
    <w:rsid w:val="007B6CE1"/>
    <w:rsid w:val="007B74B0"/>
    <w:rsid w:val="007B7E84"/>
    <w:rsid w:val="007C11D4"/>
    <w:rsid w:val="007C150A"/>
    <w:rsid w:val="007C1628"/>
    <w:rsid w:val="007C1B15"/>
    <w:rsid w:val="007C235D"/>
    <w:rsid w:val="007C2A9D"/>
    <w:rsid w:val="007C38D0"/>
    <w:rsid w:val="007C3E00"/>
    <w:rsid w:val="007C3F35"/>
    <w:rsid w:val="007C3FEA"/>
    <w:rsid w:val="007C4290"/>
    <w:rsid w:val="007C4826"/>
    <w:rsid w:val="007C50DB"/>
    <w:rsid w:val="007C5166"/>
    <w:rsid w:val="007C51BE"/>
    <w:rsid w:val="007C58CD"/>
    <w:rsid w:val="007C5E40"/>
    <w:rsid w:val="007C60B8"/>
    <w:rsid w:val="007C6631"/>
    <w:rsid w:val="007C6DF7"/>
    <w:rsid w:val="007C71BA"/>
    <w:rsid w:val="007D0E4A"/>
    <w:rsid w:val="007D1184"/>
    <w:rsid w:val="007D152F"/>
    <w:rsid w:val="007D162C"/>
    <w:rsid w:val="007D1BFF"/>
    <w:rsid w:val="007D2B2E"/>
    <w:rsid w:val="007D2BEE"/>
    <w:rsid w:val="007D3473"/>
    <w:rsid w:val="007D3A56"/>
    <w:rsid w:val="007D50AD"/>
    <w:rsid w:val="007D5158"/>
    <w:rsid w:val="007D6BD7"/>
    <w:rsid w:val="007D716B"/>
    <w:rsid w:val="007D7584"/>
    <w:rsid w:val="007D7D9F"/>
    <w:rsid w:val="007E0CF5"/>
    <w:rsid w:val="007E0EE6"/>
    <w:rsid w:val="007E11C4"/>
    <w:rsid w:val="007E123F"/>
    <w:rsid w:val="007E22E5"/>
    <w:rsid w:val="007E2C5C"/>
    <w:rsid w:val="007E2DA1"/>
    <w:rsid w:val="007E3E1F"/>
    <w:rsid w:val="007E4897"/>
    <w:rsid w:val="007E5497"/>
    <w:rsid w:val="007E56B8"/>
    <w:rsid w:val="007E5830"/>
    <w:rsid w:val="007E621A"/>
    <w:rsid w:val="007E7678"/>
    <w:rsid w:val="007E790C"/>
    <w:rsid w:val="007E7E43"/>
    <w:rsid w:val="007E7E49"/>
    <w:rsid w:val="007F20B7"/>
    <w:rsid w:val="007F20C6"/>
    <w:rsid w:val="007F2718"/>
    <w:rsid w:val="007F2C09"/>
    <w:rsid w:val="007F2D63"/>
    <w:rsid w:val="007F3078"/>
    <w:rsid w:val="007F3371"/>
    <w:rsid w:val="007F3862"/>
    <w:rsid w:val="007F3FDA"/>
    <w:rsid w:val="007F4358"/>
    <w:rsid w:val="007F4E8D"/>
    <w:rsid w:val="007F5789"/>
    <w:rsid w:val="007F616B"/>
    <w:rsid w:val="007F72B5"/>
    <w:rsid w:val="007F7439"/>
    <w:rsid w:val="00800635"/>
    <w:rsid w:val="00801661"/>
    <w:rsid w:val="0080173C"/>
    <w:rsid w:val="00803676"/>
    <w:rsid w:val="008038D0"/>
    <w:rsid w:val="008043C2"/>
    <w:rsid w:val="008052A9"/>
    <w:rsid w:val="00805DF8"/>
    <w:rsid w:val="00806D9A"/>
    <w:rsid w:val="008077FD"/>
    <w:rsid w:val="00807A07"/>
    <w:rsid w:val="0081140D"/>
    <w:rsid w:val="00811F49"/>
    <w:rsid w:val="0081292C"/>
    <w:rsid w:val="00812F81"/>
    <w:rsid w:val="008140FA"/>
    <w:rsid w:val="0081459A"/>
    <w:rsid w:val="008151B1"/>
    <w:rsid w:val="008177FF"/>
    <w:rsid w:val="0082220C"/>
    <w:rsid w:val="008226BD"/>
    <w:rsid w:val="008228D6"/>
    <w:rsid w:val="00822ED2"/>
    <w:rsid w:val="008236EF"/>
    <w:rsid w:val="00823AEF"/>
    <w:rsid w:val="00823BAF"/>
    <w:rsid w:val="008254B0"/>
    <w:rsid w:val="00826247"/>
    <w:rsid w:val="00830039"/>
    <w:rsid w:val="0083016C"/>
    <w:rsid w:val="00830C34"/>
    <w:rsid w:val="00831691"/>
    <w:rsid w:val="00831765"/>
    <w:rsid w:val="00831E2E"/>
    <w:rsid w:val="0083202D"/>
    <w:rsid w:val="00832051"/>
    <w:rsid w:val="0083220E"/>
    <w:rsid w:val="00832AF9"/>
    <w:rsid w:val="00832FFF"/>
    <w:rsid w:val="00833816"/>
    <w:rsid w:val="00834152"/>
    <w:rsid w:val="00835E55"/>
    <w:rsid w:val="008364C4"/>
    <w:rsid w:val="0083797D"/>
    <w:rsid w:val="00840070"/>
    <w:rsid w:val="00840752"/>
    <w:rsid w:val="008410F2"/>
    <w:rsid w:val="00841724"/>
    <w:rsid w:val="008422FC"/>
    <w:rsid w:val="008424C1"/>
    <w:rsid w:val="00842B05"/>
    <w:rsid w:val="0084304C"/>
    <w:rsid w:val="0084354B"/>
    <w:rsid w:val="00843571"/>
    <w:rsid w:val="00843D2E"/>
    <w:rsid w:val="00843D8E"/>
    <w:rsid w:val="00843EE6"/>
    <w:rsid w:val="00844AC1"/>
    <w:rsid w:val="00844C61"/>
    <w:rsid w:val="00844E11"/>
    <w:rsid w:val="008457C2"/>
    <w:rsid w:val="00845A0D"/>
    <w:rsid w:val="00845C0A"/>
    <w:rsid w:val="00846E70"/>
    <w:rsid w:val="00846FC1"/>
    <w:rsid w:val="008470DE"/>
    <w:rsid w:val="008471ED"/>
    <w:rsid w:val="00847C6E"/>
    <w:rsid w:val="0085173B"/>
    <w:rsid w:val="00852156"/>
    <w:rsid w:val="0085299B"/>
    <w:rsid w:val="0085335C"/>
    <w:rsid w:val="00853A1D"/>
    <w:rsid w:val="00853A2A"/>
    <w:rsid w:val="00854F78"/>
    <w:rsid w:val="00855EC3"/>
    <w:rsid w:val="0085651C"/>
    <w:rsid w:val="00857B47"/>
    <w:rsid w:val="008604F4"/>
    <w:rsid w:val="008607D3"/>
    <w:rsid w:val="008608D0"/>
    <w:rsid w:val="00861426"/>
    <w:rsid w:val="00861880"/>
    <w:rsid w:val="00861E9D"/>
    <w:rsid w:val="00861EDC"/>
    <w:rsid w:val="008623AA"/>
    <w:rsid w:val="00862743"/>
    <w:rsid w:val="0086288E"/>
    <w:rsid w:val="00863175"/>
    <w:rsid w:val="00864BAE"/>
    <w:rsid w:val="00864CD5"/>
    <w:rsid w:val="00865525"/>
    <w:rsid w:val="00866043"/>
    <w:rsid w:val="00866A10"/>
    <w:rsid w:val="00866F3F"/>
    <w:rsid w:val="00866F7E"/>
    <w:rsid w:val="008670C9"/>
    <w:rsid w:val="00867AB7"/>
    <w:rsid w:val="00870095"/>
    <w:rsid w:val="0087041A"/>
    <w:rsid w:val="00870505"/>
    <w:rsid w:val="00870E3D"/>
    <w:rsid w:val="00870F45"/>
    <w:rsid w:val="008714F3"/>
    <w:rsid w:val="00875D56"/>
    <w:rsid w:val="00875F90"/>
    <w:rsid w:val="00876257"/>
    <w:rsid w:val="008770A3"/>
    <w:rsid w:val="00880585"/>
    <w:rsid w:val="00880F9B"/>
    <w:rsid w:val="00881AC5"/>
    <w:rsid w:val="0088241A"/>
    <w:rsid w:val="00882C69"/>
    <w:rsid w:val="00882F23"/>
    <w:rsid w:val="008836CE"/>
    <w:rsid w:val="00883928"/>
    <w:rsid w:val="00883F35"/>
    <w:rsid w:val="00884303"/>
    <w:rsid w:val="0088495E"/>
    <w:rsid w:val="00884A09"/>
    <w:rsid w:val="0088571F"/>
    <w:rsid w:val="008857ED"/>
    <w:rsid w:val="00885D4B"/>
    <w:rsid w:val="008860EE"/>
    <w:rsid w:val="00886551"/>
    <w:rsid w:val="008866FD"/>
    <w:rsid w:val="00886808"/>
    <w:rsid w:val="00886CA3"/>
    <w:rsid w:val="00890852"/>
    <w:rsid w:val="00890880"/>
    <w:rsid w:val="00891CFB"/>
    <w:rsid w:val="00892486"/>
    <w:rsid w:val="008931D6"/>
    <w:rsid w:val="00893614"/>
    <w:rsid w:val="00893E25"/>
    <w:rsid w:val="00894426"/>
    <w:rsid w:val="0089474F"/>
    <w:rsid w:val="00895249"/>
    <w:rsid w:val="00895A1F"/>
    <w:rsid w:val="008961C6"/>
    <w:rsid w:val="008978F0"/>
    <w:rsid w:val="00897928"/>
    <w:rsid w:val="008A0946"/>
    <w:rsid w:val="008A0F63"/>
    <w:rsid w:val="008A1087"/>
    <w:rsid w:val="008A2BC0"/>
    <w:rsid w:val="008A38AB"/>
    <w:rsid w:val="008A4304"/>
    <w:rsid w:val="008A4D5D"/>
    <w:rsid w:val="008A521C"/>
    <w:rsid w:val="008A5434"/>
    <w:rsid w:val="008A5556"/>
    <w:rsid w:val="008A55DF"/>
    <w:rsid w:val="008A579C"/>
    <w:rsid w:val="008A59DD"/>
    <w:rsid w:val="008A620D"/>
    <w:rsid w:val="008A65C2"/>
    <w:rsid w:val="008A6CAD"/>
    <w:rsid w:val="008A6DC0"/>
    <w:rsid w:val="008A6F0D"/>
    <w:rsid w:val="008A701B"/>
    <w:rsid w:val="008A7237"/>
    <w:rsid w:val="008A7CF5"/>
    <w:rsid w:val="008B064C"/>
    <w:rsid w:val="008B1141"/>
    <w:rsid w:val="008B1B8D"/>
    <w:rsid w:val="008B21DC"/>
    <w:rsid w:val="008B22B3"/>
    <w:rsid w:val="008B2E07"/>
    <w:rsid w:val="008B37B7"/>
    <w:rsid w:val="008B3D64"/>
    <w:rsid w:val="008B3E8E"/>
    <w:rsid w:val="008B4C7C"/>
    <w:rsid w:val="008B4DD2"/>
    <w:rsid w:val="008B4FF0"/>
    <w:rsid w:val="008B5512"/>
    <w:rsid w:val="008B6A16"/>
    <w:rsid w:val="008B6C68"/>
    <w:rsid w:val="008B7814"/>
    <w:rsid w:val="008C283C"/>
    <w:rsid w:val="008C310A"/>
    <w:rsid w:val="008C428A"/>
    <w:rsid w:val="008C6266"/>
    <w:rsid w:val="008C681C"/>
    <w:rsid w:val="008C7227"/>
    <w:rsid w:val="008D02B0"/>
    <w:rsid w:val="008D07FF"/>
    <w:rsid w:val="008D0939"/>
    <w:rsid w:val="008D1029"/>
    <w:rsid w:val="008D1044"/>
    <w:rsid w:val="008D1175"/>
    <w:rsid w:val="008D13AE"/>
    <w:rsid w:val="008D177B"/>
    <w:rsid w:val="008D17DA"/>
    <w:rsid w:val="008D3ADB"/>
    <w:rsid w:val="008D4120"/>
    <w:rsid w:val="008D41C3"/>
    <w:rsid w:val="008D4302"/>
    <w:rsid w:val="008D489E"/>
    <w:rsid w:val="008D4990"/>
    <w:rsid w:val="008D4D2F"/>
    <w:rsid w:val="008D5392"/>
    <w:rsid w:val="008D62B7"/>
    <w:rsid w:val="008D6410"/>
    <w:rsid w:val="008D6851"/>
    <w:rsid w:val="008E00EB"/>
    <w:rsid w:val="008E0E89"/>
    <w:rsid w:val="008E2ECA"/>
    <w:rsid w:val="008E2EED"/>
    <w:rsid w:val="008E31D7"/>
    <w:rsid w:val="008E3CB5"/>
    <w:rsid w:val="008E3FAE"/>
    <w:rsid w:val="008E4B08"/>
    <w:rsid w:val="008E5044"/>
    <w:rsid w:val="008E5D7D"/>
    <w:rsid w:val="008E65FA"/>
    <w:rsid w:val="008E6F5F"/>
    <w:rsid w:val="008F0AA8"/>
    <w:rsid w:val="008F122B"/>
    <w:rsid w:val="008F1762"/>
    <w:rsid w:val="008F1F06"/>
    <w:rsid w:val="008F239F"/>
    <w:rsid w:val="008F3537"/>
    <w:rsid w:val="008F3B83"/>
    <w:rsid w:val="008F3C5E"/>
    <w:rsid w:val="008F57BD"/>
    <w:rsid w:val="008F5948"/>
    <w:rsid w:val="008F642A"/>
    <w:rsid w:val="008F7291"/>
    <w:rsid w:val="008F7CE3"/>
    <w:rsid w:val="00900C2F"/>
    <w:rsid w:val="00900D76"/>
    <w:rsid w:val="00901559"/>
    <w:rsid w:val="00901719"/>
    <w:rsid w:val="00903378"/>
    <w:rsid w:val="0090396D"/>
    <w:rsid w:val="00903F13"/>
    <w:rsid w:val="0090487A"/>
    <w:rsid w:val="00906645"/>
    <w:rsid w:val="00906871"/>
    <w:rsid w:val="0090773A"/>
    <w:rsid w:val="00907774"/>
    <w:rsid w:val="00910A1F"/>
    <w:rsid w:val="009110EC"/>
    <w:rsid w:val="0091155A"/>
    <w:rsid w:val="00912A5C"/>
    <w:rsid w:val="009134E6"/>
    <w:rsid w:val="00913AB5"/>
    <w:rsid w:val="00913E51"/>
    <w:rsid w:val="00914479"/>
    <w:rsid w:val="00915712"/>
    <w:rsid w:val="00915AD5"/>
    <w:rsid w:val="00915C51"/>
    <w:rsid w:val="009160B0"/>
    <w:rsid w:val="00916129"/>
    <w:rsid w:val="00916286"/>
    <w:rsid w:val="00916304"/>
    <w:rsid w:val="00916B8F"/>
    <w:rsid w:val="00917126"/>
    <w:rsid w:val="009172F7"/>
    <w:rsid w:val="00917CA4"/>
    <w:rsid w:val="00920E62"/>
    <w:rsid w:val="009217BE"/>
    <w:rsid w:val="009223E2"/>
    <w:rsid w:val="00922712"/>
    <w:rsid w:val="00923E3A"/>
    <w:rsid w:val="009240CF"/>
    <w:rsid w:val="00924354"/>
    <w:rsid w:val="00924A33"/>
    <w:rsid w:val="00924CFA"/>
    <w:rsid w:val="00926B8F"/>
    <w:rsid w:val="00927087"/>
    <w:rsid w:val="00927A4A"/>
    <w:rsid w:val="00927AEF"/>
    <w:rsid w:val="00927D37"/>
    <w:rsid w:val="0093095F"/>
    <w:rsid w:val="00930B0B"/>
    <w:rsid w:val="009321A9"/>
    <w:rsid w:val="009326E0"/>
    <w:rsid w:val="0093277A"/>
    <w:rsid w:val="00933343"/>
    <w:rsid w:val="00933A10"/>
    <w:rsid w:val="00933CA3"/>
    <w:rsid w:val="00935616"/>
    <w:rsid w:val="009356F1"/>
    <w:rsid w:val="00935C89"/>
    <w:rsid w:val="00935E74"/>
    <w:rsid w:val="00935EA4"/>
    <w:rsid w:val="00936141"/>
    <w:rsid w:val="0093614C"/>
    <w:rsid w:val="00936EC4"/>
    <w:rsid w:val="009403EF"/>
    <w:rsid w:val="00941F45"/>
    <w:rsid w:val="00942AD8"/>
    <w:rsid w:val="00942B26"/>
    <w:rsid w:val="00942E8E"/>
    <w:rsid w:val="009434E8"/>
    <w:rsid w:val="00943613"/>
    <w:rsid w:val="009437ED"/>
    <w:rsid w:val="00943D65"/>
    <w:rsid w:val="0094422D"/>
    <w:rsid w:val="00944436"/>
    <w:rsid w:val="009451DE"/>
    <w:rsid w:val="009454CF"/>
    <w:rsid w:val="00946FEF"/>
    <w:rsid w:val="0095037B"/>
    <w:rsid w:val="00950BED"/>
    <w:rsid w:val="00951177"/>
    <w:rsid w:val="009524B1"/>
    <w:rsid w:val="00952984"/>
    <w:rsid w:val="00952B7D"/>
    <w:rsid w:val="00952C79"/>
    <w:rsid w:val="00952DA5"/>
    <w:rsid w:val="00952F40"/>
    <w:rsid w:val="009533C2"/>
    <w:rsid w:val="00954630"/>
    <w:rsid w:val="0095473E"/>
    <w:rsid w:val="00954A43"/>
    <w:rsid w:val="00954C5B"/>
    <w:rsid w:val="00954D08"/>
    <w:rsid w:val="00954E15"/>
    <w:rsid w:val="00955BB9"/>
    <w:rsid w:val="00956569"/>
    <w:rsid w:val="00957410"/>
    <w:rsid w:val="009574A0"/>
    <w:rsid w:val="0095773F"/>
    <w:rsid w:val="0096013C"/>
    <w:rsid w:val="00960C4A"/>
    <w:rsid w:val="009614E0"/>
    <w:rsid w:val="00961AEB"/>
    <w:rsid w:val="00963568"/>
    <w:rsid w:val="00966055"/>
    <w:rsid w:val="00966DB6"/>
    <w:rsid w:val="0097068B"/>
    <w:rsid w:val="00971743"/>
    <w:rsid w:val="00971BF2"/>
    <w:rsid w:val="0097285D"/>
    <w:rsid w:val="00972972"/>
    <w:rsid w:val="00973DB1"/>
    <w:rsid w:val="00973F0B"/>
    <w:rsid w:val="0097443A"/>
    <w:rsid w:val="00974B6C"/>
    <w:rsid w:val="00974E6E"/>
    <w:rsid w:val="00976212"/>
    <w:rsid w:val="00977725"/>
    <w:rsid w:val="0098131A"/>
    <w:rsid w:val="009815C8"/>
    <w:rsid w:val="00982545"/>
    <w:rsid w:val="00982891"/>
    <w:rsid w:val="00982C27"/>
    <w:rsid w:val="00982DE2"/>
    <w:rsid w:val="00982F8C"/>
    <w:rsid w:val="0098327E"/>
    <w:rsid w:val="00983550"/>
    <w:rsid w:val="00983A2B"/>
    <w:rsid w:val="00983A75"/>
    <w:rsid w:val="00985174"/>
    <w:rsid w:val="00986DEE"/>
    <w:rsid w:val="0098755B"/>
    <w:rsid w:val="009878D2"/>
    <w:rsid w:val="0099278E"/>
    <w:rsid w:val="009934C7"/>
    <w:rsid w:val="00993E24"/>
    <w:rsid w:val="00993E2B"/>
    <w:rsid w:val="009953A4"/>
    <w:rsid w:val="009953B3"/>
    <w:rsid w:val="0099582F"/>
    <w:rsid w:val="009970A6"/>
    <w:rsid w:val="009977EA"/>
    <w:rsid w:val="00997B6E"/>
    <w:rsid w:val="00997BAB"/>
    <w:rsid w:val="009A0A35"/>
    <w:rsid w:val="009A0A71"/>
    <w:rsid w:val="009A16E6"/>
    <w:rsid w:val="009A1A2D"/>
    <w:rsid w:val="009A2A30"/>
    <w:rsid w:val="009A2CA4"/>
    <w:rsid w:val="009A3AB1"/>
    <w:rsid w:val="009A3CED"/>
    <w:rsid w:val="009A3F25"/>
    <w:rsid w:val="009A40B3"/>
    <w:rsid w:val="009A45DF"/>
    <w:rsid w:val="009A548B"/>
    <w:rsid w:val="009A54B1"/>
    <w:rsid w:val="009A60FE"/>
    <w:rsid w:val="009A7FD1"/>
    <w:rsid w:val="009B08B5"/>
    <w:rsid w:val="009B0C6B"/>
    <w:rsid w:val="009B17BB"/>
    <w:rsid w:val="009B2279"/>
    <w:rsid w:val="009B277F"/>
    <w:rsid w:val="009B2AE7"/>
    <w:rsid w:val="009B2D87"/>
    <w:rsid w:val="009B3B91"/>
    <w:rsid w:val="009B3CC8"/>
    <w:rsid w:val="009B3DB1"/>
    <w:rsid w:val="009B3E4E"/>
    <w:rsid w:val="009B3E91"/>
    <w:rsid w:val="009B3FD6"/>
    <w:rsid w:val="009B41F9"/>
    <w:rsid w:val="009B48FE"/>
    <w:rsid w:val="009B495A"/>
    <w:rsid w:val="009B4FF5"/>
    <w:rsid w:val="009B5536"/>
    <w:rsid w:val="009B59BC"/>
    <w:rsid w:val="009B6630"/>
    <w:rsid w:val="009B7B03"/>
    <w:rsid w:val="009C0C2F"/>
    <w:rsid w:val="009C0F3B"/>
    <w:rsid w:val="009C1C8F"/>
    <w:rsid w:val="009C1E42"/>
    <w:rsid w:val="009C26F1"/>
    <w:rsid w:val="009C2D41"/>
    <w:rsid w:val="009C36F9"/>
    <w:rsid w:val="009C3C18"/>
    <w:rsid w:val="009C4390"/>
    <w:rsid w:val="009C451F"/>
    <w:rsid w:val="009C54B3"/>
    <w:rsid w:val="009C558E"/>
    <w:rsid w:val="009C567F"/>
    <w:rsid w:val="009C6268"/>
    <w:rsid w:val="009C681B"/>
    <w:rsid w:val="009C72BA"/>
    <w:rsid w:val="009C7552"/>
    <w:rsid w:val="009C7B5B"/>
    <w:rsid w:val="009C7C20"/>
    <w:rsid w:val="009D0CCF"/>
    <w:rsid w:val="009D16CE"/>
    <w:rsid w:val="009D1F41"/>
    <w:rsid w:val="009D2368"/>
    <w:rsid w:val="009D4F8E"/>
    <w:rsid w:val="009D5C15"/>
    <w:rsid w:val="009D6591"/>
    <w:rsid w:val="009D6B28"/>
    <w:rsid w:val="009D6F3B"/>
    <w:rsid w:val="009D7418"/>
    <w:rsid w:val="009D74E8"/>
    <w:rsid w:val="009E087E"/>
    <w:rsid w:val="009E16F5"/>
    <w:rsid w:val="009E18E1"/>
    <w:rsid w:val="009E1BC0"/>
    <w:rsid w:val="009E22DF"/>
    <w:rsid w:val="009E2860"/>
    <w:rsid w:val="009E2BCA"/>
    <w:rsid w:val="009E303B"/>
    <w:rsid w:val="009E34A0"/>
    <w:rsid w:val="009E3AFF"/>
    <w:rsid w:val="009E3B58"/>
    <w:rsid w:val="009E42A5"/>
    <w:rsid w:val="009E43CD"/>
    <w:rsid w:val="009E5845"/>
    <w:rsid w:val="009E6064"/>
    <w:rsid w:val="009E6142"/>
    <w:rsid w:val="009E6AE7"/>
    <w:rsid w:val="009E7BBC"/>
    <w:rsid w:val="009E7C16"/>
    <w:rsid w:val="009F11ED"/>
    <w:rsid w:val="009F2540"/>
    <w:rsid w:val="009F25A2"/>
    <w:rsid w:val="009F28CB"/>
    <w:rsid w:val="009F3CDF"/>
    <w:rsid w:val="009F5451"/>
    <w:rsid w:val="009F7880"/>
    <w:rsid w:val="00A00C38"/>
    <w:rsid w:val="00A016DF"/>
    <w:rsid w:val="00A02588"/>
    <w:rsid w:val="00A02AC9"/>
    <w:rsid w:val="00A03048"/>
    <w:rsid w:val="00A030C7"/>
    <w:rsid w:val="00A03332"/>
    <w:rsid w:val="00A0450A"/>
    <w:rsid w:val="00A056B2"/>
    <w:rsid w:val="00A05B0C"/>
    <w:rsid w:val="00A05B8E"/>
    <w:rsid w:val="00A05FD7"/>
    <w:rsid w:val="00A06DD1"/>
    <w:rsid w:val="00A072CE"/>
    <w:rsid w:val="00A07B56"/>
    <w:rsid w:val="00A10009"/>
    <w:rsid w:val="00A10456"/>
    <w:rsid w:val="00A1058B"/>
    <w:rsid w:val="00A1081F"/>
    <w:rsid w:val="00A1154A"/>
    <w:rsid w:val="00A13A4B"/>
    <w:rsid w:val="00A14175"/>
    <w:rsid w:val="00A14AC8"/>
    <w:rsid w:val="00A15E5F"/>
    <w:rsid w:val="00A15F55"/>
    <w:rsid w:val="00A16200"/>
    <w:rsid w:val="00A16311"/>
    <w:rsid w:val="00A16AA7"/>
    <w:rsid w:val="00A16CC7"/>
    <w:rsid w:val="00A1711D"/>
    <w:rsid w:val="00A176FB"/>
    <w:rsid w:val="00A206A4"/>
    <w:rsid w:val="00A207A0"/>
    <w:rsid w:val="00A20F89"/>
    <w:rsid w:val="00A210EB"/>
    <w:rsid w:val="00A21160"/>
    <w:rsid w:val="00A22A4D"/>
    <w:rsid w:val="00A24C44"/>
    <w:rsid w:val="00A24D01"/>
    <w:rsid w:val="00A25C6D"/>
    <w:rsid w:val="00A269D2"/>
    <w:rsid w:val="00A30169"/>
    <w:rsid w:val="00A301A0"/>
    <w:rsid w:val="00A3066D"/>
    <w:rsid w:val="00A30A32"/>
    <w:rsid w:val="00A31021"/>
    <w:rsid w:val="00A31759"/>
    <w:rsid w:val="00A31A3C"/>
    <w:rsid w:val="00A31DD3"/>
    <w:rsid w:val="00A32910"/>
    <w:rsid w:val="00A32A32"/>
    <w:rsid w:val="00A32FA1"/>
    <w:rsid w:val="00A332E6"/>
    <w:rsid w:val="00A3449C"/>
    <w:rsid w:val="00A3499D"/>
    <w:rsid w:val="00A35CC7"/>
    <w:rsid w:val="00A36D92"/>
    <w:rsid w:val="00A36DD9"/>
    <w:rsid w:val="00A37934"/>
    <w:rsid w:val="00A379B5"/>
    <w:rsid w:val="00A4181D"/>
    <w:rsid w:val="00A425C7"/>
    <w:rsid w:val="00A42CEC"/>
    <w:rsid w:val="00A430CC"/>
    <w:rsid w:val="00A43DB7"/>
    <w:rsid w:val="00A44815"/>
    <w:rsid w:val="00A4490A"/>
    <w:rsid w:val="00A4499F"/>
    <w:rsid w:val="00A45B81"/>
    <w:rsid w:val="00A4618A"/>
    <w:rsid w:val="00A4632E"/>
    <w:rsid w:val="00A47CF2"/>
    <w:rsid w:val="00A50073"/>
    <w:rsid w:val="00A50474"/>
    <w:rsid w:val="00A50EA9"/>
    <w:rsid w:val="00A51851"/>
    <w:rsid w:val="00A51E25"/>
    <w:rsid w:val="00A522B1"/>
    <w:rsid w:val="00A530D1"/>
    <w:rsid w:val="00A55B92"/>
    <w:rsid w:val="00A560C6"/>
    <w:rsid w:val="00A560F7"/>
    <w:rsid w:val="00A575A5"/>
    <w:rsid w:val="00A57620"/>
    <w:rsid w:val="00A60A27"/>
    <w:rsid w:val="00A610BE"/>
    <w:rsid w:val="00A61D71"/>
    <w:rsid w:val="00A62E89"/>
    <w:rsid w:val="00A63C99"/>
    <w:rsid w:val="00A63CEF"/>
    <w:rsid w:val="00A63EE3"/>
    <w:rsid w:val="00A64976"/>
    <w:rsid w:val="00A64F96"/>
    <w:rsid w:val="00A65774"/>
    <w:rsid w:val="00A658EB"/>
    <w:rsid w:val="00A675BD"/>
    <w:rsid w:val="00A70DB5"/>
    <w:rsid w:val="00A70E62"/>
    <w:rsid w:val="00A71EC5"/>
    <w:rsid w:val="00A71FCF"/>
    <w:rsid w:val="00A720BF"/>
    <w:rsid w:val="00A724AD"/>
    <w:rsid w:val="00A72E3D"/>
    <w:rsid w:val="00A73083"/>
    <w:rsid w:val="00A730D0"/>
    <w:rsid w:val="00A73AE2"/>
    <w:rsid w:val="00A740D4"/>
    <w:rsid w:val="00A76F96"/>
    <w:rsid w:val="00A80864"/>
    <w:rsid w:val="00A818D1"/>
    <w:rsid w:val="00A824DA"/>
    <w:rsid w:val="00A83588"/>
    <w:rsid w:val="00A849FB"/>
    <w:rsid w:val="00A85778"/>
    <w:rsid w:val="00A869C2"/>
    <w:rsid w:val="00A870E7"/>
    <w:rsid w:val="00A8732C"/>
    <w:rsid w:val="00A87E6F"/>
    <w:rsid w:val="00A90096"/>
    <w:rsid w:val="00A9010A"/>
    <w:rsid w:val="00A90A69"/>
    <w:rsid w:val="00A90C5C"/>
    <w:rsid w:val="00A9111E"/>
    <w:rsid w:val="00A911D3"/>
    <w:rsid w:val="00A915F4"/>
    <w:rsid w:val="00A919D2"/>
    <w:rsid w:val="00A91B09"/>
    <w:rsid w:val="00A91F2A"/>
    <w:rsid w:val="00A92129"/>
    <w:rsid w:val="00A93004"/>
    <w:rsid w:val="00A93285"/>
    <w:rsid w:val="00A936FD"/>
    <w:rsid w:val="00A938A9"/>
    <w:rsid w:val="00A9434A"/>
    <w:rsid w:val="00A9509F"/>
    <w:rsid w:val="00A95356"/>
    <w:rsid w:val="00A96367"/>
    <w:rsid w:val="00AA051A"/>
    <w:rsid w:val="00AA12FC"/>
    <w:rsid w:val="00AA1566"/>
    <w:rsid w:val="00AA18D8"/>
    <w:rsid w:val="00AA1FBF"/>
    <w:rsid w:val="00AA208B"/>
    <w:rsid w:val="00AA2F81"/>
    <w:rsid w:val="00AA35E8"/>
    <w:rsid w:val="00AA6E5B"/>
    <w:rsid w:val="00AA7B80"/>
    <w:rsid w:val="00AA7F27"/>
    <w:rsid w:val="00AA7F71"/>
    <w:rsid w:val="00AB0069"/>
    <w:rsid w:val="00AB0297"/>
    <w:rsid w:val="00AB037A"/>
    <w:rsid w:val="00AB0468"/>
    <w:rsid w:val="00AB0963"/>
    <w:rsid w:val="00AB1CF3"/>
    <w:rsid w:val="00AB20F6"/>
    <w:rsid w:val="00AB226F"/>
    <w:rsid w:val="00AB28F9"/>
    <w:rsid w:val="00AB2F31"/>
    <w:rsid w:val="00AB3482"/>
    <w:rsid w:val="00AB3D36"/>
    <w:rsid w:val="00AB417E"/>
    <w:rsid w:val="00AB4348"/>
    <w:rsid w:val="00AB5615"/>
    <w:rsid w:val="00AB5F7F"/>
    <w:rsid w:val="00AB673D"/>
    <w:rsid w:val="00AB699F"/>
    <w:rsid w:val="00AB6FA3"/>
    <w:rsid w:val="00AB755A"/>
    <w:rsid w:val="00AC010B"/>
    <w:rsid w:val="00AC1802"/>
    <w:rsid w:val="00AC1DD2"/>
    <w:rsid w:val="00AC2163"/>
    <w:rsid w:val="00AC21E8"/>
    <w:rsid w:val="00AC421D"/>
    <w:rsid w:val="00AC447B"/>
    <w:rsid w:val="00AC4B14"/>
    <w:rsid w:val="00AC52B5"/>
    <w:rsid w:val="00AC60AA"/>
    <w:rsid w:val="00AD04AC"/>
    <w:rsid w:val="00AD0B32"/>
    <w:rsid w:val="00AD1888"/>
    <w:rsid w:val="00AD1C66"/>
    <w:rsid w:val="00AD2106"/>
    <w:rsid w:val="00AD274C"/>
    <w:rsid w:val="00AD27B2"/>
    <w:rsid w:val="00AD379E"/>
    <w:rsid w:val="00AD3A3B"/>
    <w:rsid w:val="00AD3EC2"/>
    <w:rsid w:val="00AD4235"/>
    <w:rsid w:val="00AD476D"/>
    <w:rsid w:val="00AD5919"/>
    <w:rsid w:val="00AD5A53"/>
    <w:rsid w:val="00AD6013"/>
    <w:rsid w:val="00AD61E3"/>
    <w:rsid w:val="00AD635B"/>
    <w:rsid w:val="00AD68BD"/>
    <w:rsid w:val="00AD7DDC"/>
    <w:rsid w:val="00AE04B9"/>
    <w:rsid w:val="00AE0E8D"/>
    <w:rsid w:val="00AE1C62"/>
    <w:rsid w:val="00AE271F"/>
    <w:rsid w:val="00AE2A1C"/>
    <w:rsid w:val="00AE2DAA"/>
    <w:rsid w:val="00AE3248"/>
    <w:rsid w:val="00AE35EE"/>
    <w:rsid w:val="00AE3928"/>
    <w:rsid w:val="00AE43F5"/>
    <w:rsid w:val="00AE4412"/>
    <w:rsid w:val="00AE4A27"/>
    <w:rsid w:val="00AE5B45"/>
    <w:rsid w:val="00AE6301"/>
    <w:rsid w:val="00AE6CBA"/>
    <w:rsid w:val="00AE79B4"/>
    <w:rsid w:val="00AE79D6"/>
    <w:rsid w:val="00AE79F9"/>
    <w:rsid w:val="00AF0822"/>
    <w:rsid w:val="00AF0D93"/>
    <w:rsid w:val="00AF19DA"/>
    <w:rsid w:val="00AF1CB1"/>
    <w:rsid w:val="00AF22B3"/>
    <w:rsid w:val="00AF270A"/>
    <w:rsid w:val="00AF2F97"/>
    <w:rsid w:val="00AF427E"/>
    <w:rsid w:val="00AF458B"/>
    <w:rsid w:val="00AF6EC5"/>
    <w:rsid w:val="00AF761F"/>
    <w:rsid w:val="00AF7832"/>
    <w:rsid w:val="00B00A23"/>
    <w:rsid w:val="00B00A2A"/>
    <w:rsid w:val="00B01AEA"/>
    <w:rsid w:val="00B0269C"/>
    <w:rsid w:val="00B02D3B"/>
    <w:rsid w:val="00B02ED9"/>
    <w:rsid w:val="00B0309B"/>
    <w:rsid w:val="00B03640"/>
    <w:rsid w:val="00B03970"/>
    <w:rsid w:val="00B04795"/>
    <w:rsid w:val="00B04E9C"/>
    <w:rsid w:val="00B05454"/>
    <w:rsid w:val="00B05923"/>
    <w:rsid w:val="00B06684"/>
    <w:rsid w:val="00B06793"/>
    <w:rsid w:val="00B06D88"/>
    <w:rsid w:val="00B07CB9"/>
    <w:rsid w:val="00B10069"/>
    <w:rsid w:val="00B10A0F"/>
    <w:rsid w:val="00B10ABE"/>
    <w:rsid w:val="00B110AF"/>
    <w:rsid w:val="00B128C1"/>
    <w:rsid w:val="00B138EE"/>
    <w:rsid w:val="00B13BE7"/>
    <w:rsid w:val="00B13BEC"/>
    <w:rsid w:val="00B1430F"/>
    <w:rsid w:val="00B14521"/>
    <w:rsid w:val="00B1457A"/>
    <w:rsid w:val="00B14F43"/>
    <w:rsid w:val="00B15203"/>
    <w:rsid w:val="00B1534E"/>
    <w:rsid w:val="00B17A9C"/>
    <w:rsid w:val="00B17B8C"/>
    <w:rsid w:val="00B17BE2"/>
    <w:rsid w:val="00B17D25"/>
    <w:rsid w:val="00B20D19"/>
    <w:rsid w:val="00B21020"/>
    <w:rsid w:val="00B21F37"/>
    <w:rsid w:val="00B22648"/>
    <w:rsid w:val="00B228CB"/>
    <w:rsid w:val="00B2324B"/>
    <w:rsid w:val="00B23273"/>
    <w:rsid w:val="00B241B4"/>
    <w:rsid w:val="00B24A60"/>
    <w:rsid w:val="00B25097"/>
    <w:rsid w:val="00B2543D"/>
    <w:rsid w:val="00B25E94"/>
    <w:rsid w:val="00B26123"/>
    <w:rsid w:val="00B264A8"/>
    <w:rsid w:val="00B269BE"/>
    <w:rsid w:val="00B270F0"/>
    <w:rsid w:val="00B27516"/>
    <w:rsid w:val="00B30F70"/>
    <w:rsid w:val="00B316EA"/>
    <w:rsid w:val="00B323BF"/>
    <w:rsid w:val="00B329E6"/>
    <w:rsid w:val="00B32BF8"/>
    <w:rsid w:val="00B3333F"/>
    <w:rsid w:val="00B3359C"/>
    <w:rsid w:val="00B33EF6"/>
    <w:rsid w:val="00B345C5"/>
    <w:rsid w:val="00B34D60"/>
    <w:rsid w:val="00B35049"/>
    <w:rsid w:val="00B359AC"/>
    <w:rsid w:val="00B35FFA"/>
    <w:rsid w:val="00B3616E"/>
    <w:rsid w:val="00B362C4"/>
    <w:rsid w:val="00B375FF"/>
    <w:rsid w:val="00B37690"/>
    <w:rsid w:val="00B40AD4"/>
    <w:rsid w:val="00B41100"/>
    <w:rsid w:val="00B41535"/>
    <w:rsid w:val="00B42320"/>
    <w:rsid w:val="00B426CD"/>
    <w:rsid w:val="00B42913"/>
    <w:rsid w:val="00B42E5D"/>
    <w:rsid w:val="00B43EEF"/>
    <w:rsid w:val="00B441B2"/>
    <w:rsid w:val="00B447BE"/>
    <w:rsid w:val="00B4631A"/>
    <w:rsid w:val="00B469B1"/>
    <w:rsid w:val="00B46B45"/>
    <w:rsid w:val="00B5024C"/>
    <w:rsid w:val="00B50D1E"/>
    <w:rsid w:val="00B50E43"/>
    <w:rsid w:val="00B51EE3"/>
    <w:rsid w:val="00B52B42"/>
    <w:rsid w:val="00B53045"/>
    <w:rsid w:val="00B53943"/>
    <w:rsid w:val="00B53A8D"/>
    <w:rsid w:val="00B54A6C"/>
    <w:rsid w:val="00B54E5D"/>
    <w:rsid w:val="00B54F87"/>
    <w:rsid w:val="00B553C6"/>
    <w:rsid w:val="00B553F6"/>
    <w:rsid w:val="00B5555D"/>
    <w:rsid w:val="00B55FC4"/>
    <w:rsid w:val="00B57048"/>
    <w:rsid w:val="00B5732E"/>
    <w:rsid w:val="00B574E7"/>
    <w:rsid w:val="00B60706"/>
    <w:rsid w:val="00B60D75"/>
    <w:rsid w:val="00B61BDB"/>
    <w:rsid w:val="00B62A9E"/>
    <w:rsid w:val="00B6405F"/>
    <w:rsid w:val="00B64CF1"/>
    <w:rsid w:val="00B64E24"/>
    <w:rsid w:val="00B64E93"/>
    <w:rsid w:val="00B6634F"/>
    <w:rsid w:val="00B666F5"/>
    <w:rsid w:val="00B66A6E"/>
    <w:rsid w:val="00B66A8D"/>
    <w:rsid w:val="00B67554"/>
    <w:rsid w:val="00B67B47"/>
    <w:rsid w:val="00B705D9"/>
    <w:rsid w:val="00B73D55"/>
    <w:rsid w:val="00B73E82"/>
    <w:rsid w:val="00B74F7B"/>
    <w:rsid w:val="00B75111"/>
    <w:rsid w:val="00B754BD"/>
    <w:rsid w:val="00B75B49"/>
    <w:rsid w:val="00B75DD6"/>
    <w:rsid w:val="00B75FC1"/>
    <w:rsid w:val="00B76B85"/>
    <w:rsid w:val="00B7727B"/>
    <w:rsid w:val="00B7761D"/>
    <w:rsid w:val="00B77A51"/>
    <w:rsid w:val="00B800F2"/>
    <w:rsid w:val="00B80A50"/>
    <w:rsid w:val="00B80F38"/>
    <w:rsid w:val="00B81B8B"/>
    <w:rsid w:val="00B82588"/>
    <w:rsid w:val="00B82728"/>
    <w:rsid w:val="00B8296B"/>
    <w:rsid w:val="00B82AB5"/>
    <w:rsid w:val="00B84E0A"/>
    <w:rsid w:val="00B84E2D"/>
    <w:rsid w:val="00B859E4"/>
    <w:rsid w:val="00B873EA"/>
    <w:rsid w:val="00B90520"/>
    <w:rsid w:val="00B90D1E"/>
    <w:rsid w:val="00B91014"/>
    <w:rsid w:val="00B919DF"/>
    <w:rsid w:val="00B93266"/>
    <w:rsid w:val="00B937A8"/>
    <w:rsid w:val="00B93F92"/>
    <w:rsid w:val="00B943AE"/>
    <w:rsid w:val="00B944F3"/>
    <w:rsid w:val="00B94693"/>
    <w:rsid w:val="00B953DF"/>
    <w:rsid w:val="00B95C27"/>
    <w:rsid w:val="00B96001"/>
    <w:rsid w:val="00B9616A"/>
    <w:rsid w:val="00B9716D"/>
    <w:rsid w:val="00B973A8"/>
    <w:rsid w:val="00B97418"/>
    <w:rsid w:val="00B97B87"/>
    <w:rsid w:val="00BA176E"/>
    <w:rsid w:val="00BA225C"/>
    <w:rsid w:val="00BA2773"/>
    <w:rsid w:val="00BA27A3"/>
    <w:rsid w:val="00BA285D"/>
    <w:rsid w:val="00BA2D06"/>
    <w:rsid w:val="00BA37EC"/>
    <w:rsid w:val="00BA49E7"/>
    <w:rsid w:val="00BA5B9B"/>
    <w:rsid w:val="00BA5BEA"/>
    <w:rsid w:val="00BA624F"/>
    <w:rsid w:val="00BA6806"/>
    <w:rsid w:val="00BA6A1A"/>
    <w:rsid w:val="00BA7306"/>
    <w:rsid w:val="00BA7487"/>
    <w:rsid w:val="00BA775B"/>
    <w:rsid w:val="00BA77FD"/>
    <w:rsid w:val="00BB067D"/>
    <w:rsid w:val="00BB1E70"/>
    <w:rsid w:val="00BB2612"/>
    <w:rsid w:val="00BB2D80"/>
    <w:rsid w:val="00BB3381"/>
    <w:rsid w:val="00BB3668"/>
    <w:rsid w:val="00BB4513"/>
    <w:rsid w:val="00BB4A9D"/>
    <w:rsid w:val="00BB4DAB"/>
    <w:rsid w:val="00BB510A"/>
    <w:rsid w:val="00BB5805"/>
    <w:rsid w:val="00BB5A48"/>
    <w:rsid w:val="00BB5E3D"/>
    <w:rsid w:val="00BB600A"/>
    <w:rsid w:val="00BB6137"/>
    <w:rsid w:val="00BB6673"/>
    <w:rsid w:val="00BB66DF"/>
    <w:rsid w:val="00BB6FD1"/>
    <w:rsid w:val="00BB7BD1"/>
    <w:rsid w:val="00BB7C8C"/>
    <w:rsid w:val="00BC0656"/>
    <w:rsid w:val="00BC0764"/>
    <w:rsid w:val="00BC0A11"/>
    <w:rsid w:val="00BC0C9C"/>
    <w:rsid w:val="00BC155F"/>
    <w:rsid w:val="00BC3560"/>
    <w:rsid w:val="00BC5188"/>
    <w:rsid w:val="00BC6ABA"/>
    <w:rsid w:val="00BC6C6B"/>
    <w:rsid w:val="00BC6E55"/>
    <w:rsid w:val="00BC764D"/>
    <w:rsid w:val="00BD0200"/>
    <w:rsid w:val="00BD03DC"/>
    <w:rsid w:val="00BD04B2"/>
    <w:rsid w:val="00BD09E5"/>
    <w:rsid w:val="00BD3057"/>
    <w:rsid w:val="00BD422C"/>
    <w:rsid w:val="00BD42F2"/>
    <w:rsid w:val="00BD5807"/>
    <w:rsid w:val="00BD591B"/>
    <w:rsid w:val="00BD5D5B"/>
    <w:rsid w:val="00BD7815"/>
    <w:rsid w:val="00BE0C5A"/>
    <w:rsid w:val="00BE1702"/>
    <w:rsid w:val="00BE1BAE"/>
    <w:rsid w:val="00BE20C0"/>
    <w:rsid w:val="00BE2B48"/>
    <w:rsid w:val="00BE2C07"/>
    <w:rsid w:val="00BE33F5"/>
    <w:rsid w:val="00BE4881"/>
    <w:rsid w:val="00BE5DE6"/>
    <w:rsid w:val="00BE5EC4"/>
    <w:rsid w:val="00BE6592"/>
    <w:rsid w:val="00BE66E0"/>
    <w:rsid w:val="00BF10A9"/>
    <w:rsid w:val="00BF10BD"/>
    <w:rsid w:val="00BF1E8C"/>
    <w:rsid w:val="00BF2D03"/>
    <w:rsid w:val="00BF32D0"/>
    <w:rsid w:val="00BF4EBA"/>
    <w:rsid w:val="00BF5401"/>
    <w:rsid w:val="00BF698C"/>
    <w:rsid w:val="00BF7061"/>
    <w:rsid w:val="00BF77DB"/>
    <w:rsid w:val="00C010F2"/>
    <w:rsid w:val="00C01CDB"/>
    <w:rsid w:val="00C020E3"/>
    <w:rsid w:val="00C02DCF"/>
    <w:rsid w:val="00C02EAD"/>
    <w:rsid w:val="00C02F5F"/>
    <w:rsid w:val="00C03415"/>
    <w:rsid w:val="00C036EB"/>
    <w:rsid w:val="00C03942"/>
    <w:rsid w:val="00C03D4B"/>
    <w:rsid w:val="00C03D9D"/>
    <w:rsid w:val="00C04F92"/>
    <w:rsid w:val="00C0639D"/>
    <w:rsid w:val="00C064B4"/>
    <w:rsid w:val="00C06B0F"/>
    <w:rsid w:val="00C07157"/>
    <w:rsid w:val="00C10330"/>
    <w:rsid w:val="00C110D2"/>
    <w:rsid w:val="00C11D32"/>
    <w:rsid w:val="00C12F69"/>
    <w:rsid w:val="00C1313D"/>
    <w:rsid w:val="00C13680"/>
    <w:rsid w:val="00C14C5B"/>
    <w:rsid w:val="00C15371"/>
    <w:rsid w:val="00C15D9A"/>
    <w:rsid w:val="00C15DDF"/>
    <w:rsid w:val="00C16773"/>
    <w:rsid w:val="00C17059"/>
    <w:rsid w:val="00C170B1"/>
    <w:rsid w:val="00C20177"/>
    <w:rsid w:val="00C20E18"/>
    <w:rsid w:val="00C21545"/>
    <w:rsid w:val="00C220BA"/>
    <w:rsid w:val="00C2223F"/>
    <w:rsid w:val="00C23CCA"/>
    <w:rsid w:val="00C23D38"/>
    <w:rsid w:val="00C24199"/>
    <w:rsid w:val="00C24869"/>
    <w:rsid w:val="00C24D2B"/>
    <w:rsid w:val="00C25661"/>
    <w:rsid w:val="00C259C9"/>
    <w:rsid w:val="00C2617B"/>
    <w:rsid w:val="00C26816"/>
    <w:rsid w:val="00C27F14"/>
    <w:rsid w:val="00C30A09"/>
    <w:rsid w:val="00C31027"/>
    <w:rsid w:val="00C31350"/>
    <w:rsid w:val="00C3160A"/>
    <w:rsid w:val="00C31E16"/>
    <w:rsid w:val="00C32A53"/>
    <w:rsid w:val="00C332D0"/>
    <w:rsid w:val="00C333A1"/>
    <w:rsid w:val="00C33738"/>
    <w:rsid w:val="00C33CC6"/>
    <w:rsid w:val="00C33F6B"/>
    <w:rsid w:val="00C35146"/>
    <w:rsid w:val="00C36C6B"/>
    <w:rsid w:val="00C3709B"/>
    <w:rsid w:val="00C375CA"/>
    <w:rsid w:val="00C41767"/>
    <w:rsid w:val="00C42FCD"/>
    <w:rsid w:val="00C44E87"/>
    <w:rsid w:val="00C44F61"/>
    <w:rsid w:val="00C450FD"/>
    <w:rsid w:val="00C460AB"/>
    <w:rsid w:val="00C463B8"/>
    <w:rsid w:val="00C47773"/>
    <w:rsid w:val="00C50014"/>
    <w:rsid w:val="00C501B8"/>
    <w:rsid w:val="00C51038"/>
    <w:rsid w:val="00C51B94"/>
    <w:rsid w:val="00C52DD2"/>
    <w:rsid w:val="00C52FA9"/>
    <w:rsid w:val="00C5379E"/>
    <w:rsid w:val="00C53D4E"/>
    <w:rsid w:val="00C53DB0"/>
    <w:rsid w:val="00C53DF2"/>
    <w:rsid w:val="00C541F9"/>
    <w:rsid w:val="00C54436"/>
    <w:rsid w:val="00C547E3"/>
    <w:rsid w:val="00C54841"/>
    <w:rsid w:val="00C54BD8"/>
    <w:rsid w:val="00C550EC"/>
    <w:rsid w:val="00C55721"/>
    <w:rsid w:val="00C55B42"/>
    <w:rsid w:val="00C5647A"/>
    <w:rsid w:val="00C568AB"/>
    <w:rsid w:val="00C573C6"/>
    <w:rsid w:val="00C608B2"/>
    <w:rsid w:val="00C60D21"/>
    <w:rsid w:val="00C615B8"/>
    <w:rsid w:val="00C61614"/>
    <w:rsid w:val="00C61702"/>
    <w:rsid w:val="00C61806"/>
    <w:rsid w:val="00C61D0E"/>
    <w:rsid w:val="00C62021"/>
    <w:rsid w:val="00C62250"/>
    <w:rsid w:val="00C623AE"/>
    <w:rsid w:val="00C623FD"/>
    <w:rsid w:val="00C62631"/>
    <w:rsid w:val="00C62CBA"/>
    <w:rsid w:val="00C63234"/>
    <w:rsid w:val="00C638FF"/>
    <w:rsid w:val="00C63953"/>
    <w:rsid w:val="00C64975"/>
    <w:rsid w:val="00C64CDA"/>
    <w:rsid w:val="00C65151"/>
    <w:rsid w:val="00C656F3"/>
    <w:rsid w:val="00C65E60"/>
    <w:rsid w:val="00C66797"/>
    <w:rsid w:val="00C67B5E"/>
    <w:rsid w:val="00C67D6D"/>
    <w:rsid w:val="00C7102B"/>
    <w:rsid w:val="00C7151F"/>
    <w:rsid w:val="00C71C8F"/>
    <w:rsid w:val="00C71D18"/>
    <w:rsid w:val="00C724A5"/>
    <w:rsid w:val="00C72CBD"/>
    <w:rsid w:val="00C73EE8"/>
    <w:rsid w:val="00C754FE"/>
    <w:rsid w:val="00C75931"/>
    <w:rsid w:val="00C7686E"/>
    <w:rsid w:val="00C76BE8"/>
    <w:rsid w:val="00C77B90"/>
    <w:rsid w:val="00C80A4E"/>
    <w:rsid w:val="00C810DD"/>
    <w:rsid w:val="00C8117D"/>
    <w:rsid w:val="00C81D7D"/>
    <w:rsid w:val="00C823D1"/>
    <w:rsid w:val="00C8471F"/>
    <w:rsid w:val="00C847C9"/>
    <w:rsid w:val="00C84CD9"/>
    <w:rsid w:val="00C85B62"/>
    <w:rsid w:val="00C86A89"/>
    <w:rsid w:val="00C86E16"/>
    <w:rsid w:val="00C8796E"/>
    <w:rsid w:val="00C87E34"/>
    <w:rsid w:val="00C90714"/>
    <w:rsid w:val="00C90724"/>
    <w:rsid w:val="00C90D68"/>
    <w:rsid w:val="00C91367"/>
    <w:rsid w:val="00C914CC"/>
    <w:rsid w:val="00C915CA"/>
    <w:rsid w:val="00C91A0C"/>
    <w:rsid w:val="00C92DD4"/>
    <w:rsid w:val="00C94868"/>
    <w:rsid w:val="00C94B23"/>
    <w:rsid w:val="00C95138"/>
    <w:rsid w:val="00C968C9"/>
    <w:rsid w:val="00C96F25"/>
    <w:rsid w:val="00CA0EA6"/>
    <w:rsid w:val="00CA19C5"/>
    <w:rsid w:val="00CA1E1B"/>
    <w:rsid w:val="00CA300B"/>
    <w:rsid w:val="00CA79AC"/>
    <w:rsid w:val="00CB03B8"/>
    <w:rsid w:val="00CB03BC"/>
    <w:rsid w:val="00CB05E0"/>
    <w:rsid w:val="00CB0D3E"/>
    <w:rsid w:val="00CB1487"/>
    <w:rsid w:val="00CB180C"/>
    <w:rsid w:val="00CB2C7B"/>
    <w:rsid w:val="00CB39AF"/>
    <w:rsid w:val="00CB3F8C"/>
    <w:rsid w:val="00CB48E2"/>
    <w:rsid w:val="00CB4917"/>
    <w:rsid w:val="00CB511C"/>
    <w:rsid w:val="00CB5640"/>
    <w:rsid w:val="00CB5719"/>
    <w:rsid w:val="00CB5F5D"/>
    <w:rsid w:val="00CB61B4"/>
    <w:rsid w:val="00CB76DA"/>
    <w:rsid w:val="00CB7856"/>
    <w:rsid w:val="00CC0A44"/>
    <w:rsid w:val="00CC113D"/>
    <w:rsid w:val="00CC1198"/>
    <w:rsid w:val="00CC12DF"/>
    <w:rsid w:val="00CC136D"/>
    <w:rsid w:val="00CC1FDC"/>
    <w:rsid w:val="00CC21A4"/>
    <w:rsid w:val="00CC224C"/>
    <w:rsid w:val="00CC2338"/>
    <w:rsid w:val="00CC236C"/>
    <w:rsid w:val="00CC26BA"/>
    <w:rsid w:val="00CC2703"/>
    <w:rsid w:val="00CC289D"/>
    <w:rsid w:val="00CC2CC7"/>
    <w:rsid w:val="00CC3112"/>
    <w:rsid w:val="00CC3336"/>
    <w:rsid w:val="00CC368D"/>
    <w:rsid w:val="00CC3D8F"/>
    <w:rsid w:val="00CC4116"/>
    <w:rsid w:val="00CC41B2"/>
    <w:rsid w:val="00CC4A0D"/>
    <w:rsid w:val="00CC4A65"/>
    <w:rsid w:val="00CC51D4"/>
    <w:rsid w:val="00CC51D6"/>
    <w:rsid w:val="00CC58BE"/>
    <w:rsid w:val="00CC5CE8"/>
    <w:rsid w:val="00CC61A4"/>
    <w:rsid w:val="00CC621F"/>
    <w:rsid w:val="00CC787A"/>
    <w:rsid w:val="00CD006F"/>
    <w:rsid w:val="00CD0170"/>
    <w:rsid w:val="00CD01B9"/>
    <w:rsid w:val="00CD0E6A"/>
    <w:rsid w:val="00CD1064"/>
    <w:rsid w:val="00CD2286"/>
    <w:rsid w:val="00CD2A97"/>
    <w:rsid w:val="00CD31E5"/>
    <w:rsid w:val="00CD427E"/>
    <w:rsid w:val="00CD4BBB"/>
    <w:rsid w:val="00CD4EDC"/>
    <w:rsid w:val="00CD54CE"/>
    <w:rsid w:val="00CD54DA"/>
    <w:rsid w:val="00CD5D79"/>
    <w:rsid w:val="00CD63C4"/>
    <w:rsid w:val="00CD73C5"/>
    <w:rsid w:val="00CD798E"/>
    <w:rsid w:val="00CE0A7B"/>
    <w:rsid w:val="00CE0AD0"/>
    <w:rsid w:val="00CE1B18"/>
    <w:rsid w:val="00CE1E70"/>
    <w:rsid w:val="00CE317F"/>
    <w:rsid w:val="00CE36B9"/>
    <w:rsid w:val="00CE3D91"/>
    <w:rsid w:val="00CE4724"/>
    <w:rsid w:val="00CE47BF"/>
    <w:rsid w:val="00CE5EC7"/>
    <w:rsid w:val="00CE6AF4"/>
    <w:rsid w:val="00CF1A30"/>
    <w:rsid w:val="00CF1D77"/>
    <w:rsid w:val="00CF2853"/>
    <w:rsid w:val="00CF2E6A"/>
    <w:rsid w:val="00CF30D2"/>
    <w:rsid w:val="00CF37F7"/>
    <w:rsid w:val="00CF3AB6"/>
    <w:rsid w:val="00CF4230"/>
    <w:rsid w:val="00CF4DDF"/>
    <w:rsid w:val="00CF5560"/>
    <w:rsid w:val="00CF5DC4"/>
    <w:rsid w:val="00CF620E"/>
    <w:rsid w:val="00D00101"/>
    <w:rsid w:val="00D00128"/>
    <w:rsid w:val="00D00C36"/>
    <w:rsid w:val="00D01332"/>
    <w:rsid w:val="00D0149E"/>
    <w:rsid w:val="00D01A35"/>
    <w:rsid w:val="00D023A3"/>
    <w:rsid w:val="00D0273C"/>
    <w:rsid w:val="00D02940"/>
    <w:rsid w:val="00D02B2E"/>
    <w:rsid w:val="00D02DD1"/>
    <w:rsid w:val="00D030C3"/>
    <w:rsid w:val="00D034DF"/>
    <w:rsid w:val="00D03502"/>
    <w:rsid w:val="00D057CF"/>
    <w:rsid w:val="00D05922"/>
    <w:rsid w:val="00D05CB6"/>
    <w:rsid w:val="00D05FAD"/>
    <w:rsid w:val="00D066C7"/>
    <w:rsid w:val="00D0681D"/>
    <w:rsid w:val="00D06834"/>
    <w:rsid w:val="00D07882"/>
    <w:rsid w:val="00D079CE"/>
    <w:rsid w:val="00D109DF"/>
    <w:rsid w:val="00D10B1A"/>
    <w:rsid w:val="00D11582"/>
    <w:rsid w:val="00D13E2B"/>
    <w:rsid w:val="00D13E97"/>
    <w:rsid w:val="00D1581B"/>
    <w:rsid w:val="00D15C7A"/>
    <w:rsid w:val="00D16B74"/>
    <w:rsid w:val="00D16F4C"/>
    <w:rsid w:val="00D21966"/>
    <w:rsid w:val="00D22A50"/>
    <w:rsid w:val="00D2336C"/>
    <w:rsid w:val="00D2378C"/>
    <w:rsid w:val="00D23A81"/>
    <w:rsid w:val="00D258BC"/>
    <w:rsid w:val="00D2646C"/>
    <w:rsid w:val="00D26B45"/>
    <w:rsid w:val="00D274B9"/>
    <w:rsid w:val="00D303A9"/>
    <w:rsid w:val="00D30DE6"/>
    <w:rsid w:val="00D316C7"/>
    <w:rsid w:val="00D324DC"/>
    <w:rsid w:val="00D32A42"/>
    <w:rsid w:val="00D32F97"/>
    <w:rsid w:val="00D33949"/>
    <w:rsid w:val="00D343D4"/>
    <w:rsid w:val="00D347DD"/>
    <w:rsid w:val="00D3518A"/>
    <w:rsid w:val="00D362C3"/>
    <w:rsid w:val="00D36FBF"/>
    <w:rsid w:val="00D372FD"/>
    <w:rsid w:val="00D40A79"/>
    <w:rsid w:val="00D41173"/>
    <w:rsid w:val="00D4305B"/>
    <w:rsid w:val="00D432D7"/>
    <w:rsid w:val="00D436D7"/>
    <w:rsid w:val="00D439AB"/>
    <w:rsid w:val="00D455D0"/>
    <w:rsid w:val="00D466A7"/>
    <w:rsid w:val="00D47BB9"/>
    <w:rsid w:val="00D51DA9"/>
    <w:rsid w:val="00D52AA3"/>
    <w:rsid w:val="00D53BB0"/>
    <w:rsid w:val="00D549AA"/>
    <w:rsid w:val="00D54A95"/>
    <w:rsid w:val="00D5545B"/>
    <w:rsid w:val="00D55516"/>
    <w:rsid w:val="00D557E0"/>
    <w:rsid w:val="00D55E6D"/>
    <w:rsid w:val="00D55F41"/>
    <w:rsid w:val="00D55F9F"/>
    <w:rsid w:val="00D56353"/>
    <w:rsid w:val="00D56D4E"/>
    <w:rsid w:val="00D5763A"/>
    <w:rsid w:val="00D602D3"/>
    <w:rsid w:val="00D60D39"/>
    <w:rsid w:val="00D61240"/>
    <w:rsid w:val="00D61AA1"/>
    <w:rsid w:val="00D620D8"/>
    <w:rsid w:val="00D6265B"/>
    <w:rsid w:val="00D62FAB"/>
    <w:rsid w:val="00D631F3"/>
    <w:rsid w:val="00D63DE2"/>
    <w:rsid w:val="00D6425E"/>
    <w:rsid w:val="00D6462D"/>
    <w:rsid w:val="00D65436"/>
    <w:rsid w:val="00D66855"/>
    <w:rsid w:val="00D669BD"/>
    <w:rsid w:val="00D67762"/>
    <w:rsid w:val="00D703F5"/>
    <w:rsid w:val="00D707E6"/>
    <w:rsid w:val="00D70BB8"/>
    <w:rsid w:val="00D70D20"/>
    <w:rsid w:val="00D7117E"/>
    <w:rsid w:val="00D713BC"/>
    <w:rsid w:val="00D71653"/>
    <w:rsid w:val="00D71C6D"/>
    <w:rsid w:val="00D728FB"/>
    <w:rsid w:val="00D75557"/>
    <w:rsid w:val="00D7568C"/>
    <w:rsid w:val="00D76434"/>
    <w:rsid w:val="00D77335"/>
    <w:rsid w:val="00D775AE"/>
    <w:rsid w:val="00D80141"/>
    <w:rsid w:val="00D8084A"/>
    <w:rsid w:val="00D80E3B"/>
    <w:rsid w:val="00D80FED"/>
    <w:rsid w:val="00D8119E"/>
    <w:rsid w:val="00D81408"/>
    <w:rsid w:val="00D81E97"/>
    <w:rsid w:val="00D832A0"/>
    <w:rsid w:val="00D836E0"/>
    <w:rsid w:val="00D84BC2"/>
    <w:rsid w:val="00D85BCC"/>
    <w:rsid w:val="00D85E6F"/>
    <w:rsid w:val="00D85EFF"/>
    <w:rsid w:val="00D86258"/>
    <w:rsid w:val="00D872AE"/>
    <w:rsid w:val="00D872B1"/>
    <w:rsid w:val="00D87C4E"/>
    <w:rsid w:val="00D87D63"/>
    <w:rsid w:val="00D87EB1"/>
    <w:rsid w:val="00D915D0"/>
    <w:rsid w:val="00D924C5"/>
    <w:rsid w:val="00D92565"/>
    <w:rsid w:val="00D9294F"/>
    <w:rsid w:val="00D937C7"/>
    <w:rsid w:val="00D93912"/>
    <w:rsid w:val="00D939E4"/>
    <w:rsid w:val="00D943EE"/>
    <w:rsid w:val="00D94DB7"/>
    <w:rsid w:val="00D94E71"/>
    <w:rsid w:val="00D9512C"/>
    <w:rsid w:val="00D95756"/>
    <w:rsid w:val="00D958F1"/>
    <w:rsid w:val="00D96B59"/>
    <w:rsid w:val="00D96D45"/>
    <w:rsid w:val="00D97BF1"/>
    <w:rsid w:val="00D97E62"/>
    <w:rsid w:val="00DA0412"/>
    <w:rsid w:val="00DA110C"/>
    <w:rsid w:val="00DA1841"/>
    <w:rsid w:val="00DA19DF"/>
    <w:rsid w:val="00DA248A"/>
    <w:rsid w:val="00DA28B0"/>
    <w:rsid w:val="00DA2D09"/>
    <w:rsid w:val="00DA2E8F"/>
    <w:rsid w:val="00DA34F8"/>
    <w:rsid w:val="00DA37B2"/>
    <w:rsid w:val="00DA3B07"/>
    <w:rsid w:val="00DA3DB5"/>
    <w:rsid w:val="00DA3DCC"/>
    <w:rsid w:val="00DA451D"/>
    <w:rsid w:val="00DA45A4"/>
    <w:rsid w:val="00DA4708"/>
    <w:rsid w:val="00DA4991"/>
    <w:rsid w:val="00DA54F5"/>
    <w:rsid w:val="00DA5D38"/>
    <w:rsid w:val="00DA5DAA"/>
    <w:rsid w:val="00DA61C9"/>
    <w:rsid w:val="00DA6D71"/>
    <w:rsid w:val="00DB0036"/>
    <w:rsid w:val="00DB0665"/>
    <w:rsid w:val="00DB0A39"/>
    <w:rsid w:val="00DB13AD"/>
    <w:rsid w:val="00DB270E"/>
    <w:rsid w:val="00DB3A0A"/>
    <w:rsid w:val="00DB3A87"/>
    <w:rsid w:val="00DB441E"/>
    <w:rsid w:val="00DB4442"/>
    <w:rsid w:val="00DB4F44"/>
    <w:rsid w:val="00DB66EA"/>
    <w:rsid w:val="00DB6C5A"/>
    <w:rsid w:val="00DB6C8A"/>
    <w:rsid w:val="00DB6D69"/>
    <w:rsid w:val="00DB7130"/>
    <w:rsid w:val="00DB79BF"/>
    <w:rsid w:val="00DB7F78"/>
    <w:rsid w:val="00DC0B9A"/>
    <w:rsid w:val="00DC0DB8"/>
    <w:rsid w:val="00DC110C"/>
    <w:rsid w:val="00DC1DD2"/>
    <w:rsid w:val="00DC2670"/>
    <w:rsid w:val="00DC2900"/>
    <w:rsid w:val="00DC3395"/>
    <w:rsid w:val="00DC37F2"/>
    <w:rsid w:val="00DC3A1B"/>
    <w:rsid w:val="00DC3BEC"/>
    <w:rsid w:val="00DC3F22"/>
    <w:rsid w:val="00DC5000"/>
    <w:rsid w:val="00DC5F40"/>
    <w:rsid w:val="00DC6C58"/>
    <w:rsid w:val="00DC79DA"/>
    <w:rsid w:val="00DC7D73"/>
    <w:rsid w:val="00DC7F61"/>
    <w:rsid w:val="00DD0DCB"/>
    <w:rsid w:val="00DD12F2"/>
    <w:rsid w:val="00DD1782"/>
    <w:rsid w:val="00DD2C55"/>
    <w:rsid w:val="00DD2D03"/>
    <w:rsid w:val="00DD2D28"/>
    <w:rsid w:val="00DD2EAD"/>
    <w:rsid w:val="00DD2EE9"/>
    <w:rsid w:val="00DD2F76"/>
    <w:rsid w:val="00DD358A"/>
    <w:rsid w:val="00DD46F1"/>
    <w:rsid w:val="00DD5540"/>
    <w:rsid w:val="00DD7857"/>
    <w:rsid w:val="00DE0608"/>
    <w:rsid w:val="00DE13B5"/>
    <w:rsid w:val="00DE1A85"/>
    <w:rsid w:val="00DE1DF0"/>
    <w:rsid w:val="00DE1DF9"/>
    <w:rsid w:val="00DE1F0E"/>
    <w:rsid w:val="00DE23CD"/>
    <w:rsid w:val="00DE2889"/>
    <w:rsid w:val="00DE3555"/>
    <w:rsid w:val="00DE3FA2"/>
    <w:rsid w:val="00DE46E8"/>
    <w:rsid w:val="00DE473E"/>
    <w:rsid w:val="00DE4CC1"/>
    <w:rsid w:val="00DE4CFF"/>
    <w:rsid w:val="00DE5718"/>
    <w:rsid w:val="00DE5973"/>
    <w:rsid w:val="00DE6E88"/>
    <w:rsid w:val="00DE6F69"/>
    <w:rsid w:val="00DE74F1"/>
    <w:rsid w:val="00DE78E1"/>
    <w:rsid w:val="00DF0DC4"/>
    <w:rsid w:val="00DF0E2B"/>
    <w:rsid w:val="00DF1BD8"/>
    <w:rsid w:val="00DF205E"/>
    <w:rsid w:val="00DF239B"/>
    <w:rsid w:val="00DF24B7"/>
    <w:rsid w:val="00DF41EF"/>
    <w:rsid w:val="00DF41F5"/>
    <w:rsid w:val="00DF43F5"/>
    <w:rsid w:val="00DF5788"/>
    <w:rsid w:val="00DF5C89"/>
    <w:rsid w:val="00DF5E93"/>
    <w:rsid w:val="00DF6B32"/>
    <w:rsid w:val="00DF7393"/>
    <w:rsid w:val="00DF7993"/>
    <w:rsid w:val="00DF7C54"/>
    <w:rsid w:val="00E00069"/>
    <w:rsid w:val="00E00648"/>
    <w:rsid w:val="00E01462"/>
    <w:rsid w:val="00E0177D"/>
    <w:rsid w:val="00E01FB8"/>
    <w:rsid w:val="00E02570"/>
    <w:rsid w:val="00E025C8"/>
    <w:rsid w:val="00E02AE3"/>
    <w:rsid w:val="00E02F58"/>
    <w:rsid w:val="00E058D5"/>
    <w:rsid w:val="00E05920"/>
    <w:rsid w:val="00E05F7B"/>
    <w:rsid w:val="00E06402"/>
    <w:rsid w:val="00E07544"/>
    <w:rsid w:val="00E10B7A"/>
    <w:rsid w:val="00E10E43"/>
    <w:rsid w:val="00E11A4C"/>
    <w:rsid w:val="00E1230C"/>
    <w:rsid w:val="00E12651"/>
    <w:rsid w:val="00E12DD4"/>
    <w:rsid w:val="00E141B6"/>
    <w:rsid w:val="00E147C5"/>
    <w:rsid w:val="00E14CEE"/>
    <w:rsid w:val="00E15655"/>
    <w:rsid w:val="00E15B51"/>
    <w:rsid w:val="00E16CBB"/>
    <w:rsid w:val="00E17204"/>
    <w:rsid w:val="00E176AE"/>
    <w:rsid w:val="00E177F4"/>
    <w:rsid w:val="00E177F5"/>
    <w:rsid w:val="00E17D4A"/>
    <w:rsid w:val="00E17FF1"/>
    <w:rsid w:val="00E20BC4"/>
    <w:rsid w:val="00E214B1"/>
    <w:rsid w:val="00E221CA"/>
    <w:rsid w:val="00E22F46"/>
    <w:rsid w:val="00E23F9C"/>
    <w:rsid w:val="00E2416A"/>
    <w:rsid w:val="00E24574"/>
    <w:rsid w:val="00E254C9"/>
    <w:rsid w:val="00E25978"/>
    <w:rsid w:val="00E259F6"/>
    <w:rsid w:val="00E26488"/>
    <w:rsid w:val="00E26C12"/>
    <w:rsid w:val="00E27327"/>
    <w:rsid w:val="00E27C4B"/>
    <w:rsid w:val="00E27E88"/>
    <w:rsid w:val="00E300A3"/>
    <w:rsid w:val="00E309A8"/>
    <w:rsid w:val="00E30B89"/>
    <w:rsid w:val="00E31504"/>
    <w:rsid w:val="00E3195C"/>
    <w:rsid w:val="00E32FA9"/>
    <w:rsid w:val="00E33287"/>
    <w:rsid w:val="00E332D7"/>
    <w:rsid w:val="00E33D5B"/>
    <w:rsid w:val="00E345A6"/>
    <w:rsid w:val="00E359E1"/>
    <w:rsid w:val="00E35BAE"/>
    <w:rsid w:val="00E361E3"/>
    <w:rsid w:val="00E373A9"/>
    <w:rsid w:val="00E37CA0"/>
    <w:rsid w:val="00E37DBD"/>
    <w:rsid w:val="00E40263"/>
    <w:rsid w:val="00E40472"/>
    <w:rsid w:val="00E405B3"/>
    <w:rsid w:val="00E414F2"/>
    <w:rsid w:val="00E41642"/>
    <w:rsid w:val="00E416E0"/>
    <w:rsid w:val="00E4258B"/>
    <w:rsid w:val="00E425B6"/>
    <w:rsid w:val="00E4404A"/>
    <w:rsid w:val="00E447E3"/>
    <w:rsid w:val="00E44AD7"/>
    <w:rsid w:val="00E454CC"/>
    <w:rsid w:val="00E4566E"/>
    <w:rsid w:val="00E458A8"/>
    <w:rsid w:val="00E465AD"/>
    <w:rsid w:val="00E46C25"/>
    <w:rsid w:val="00E473BD"/>
    <w:rsid w:val="00E50366"/>
    <w:rsid w:val="00E5244A"/>
    <w:rsid w:val="00E525D3"/>
    <w:rsid w:val="00E54017"/>
    <w:rsid w:val="00E54CA9"/>
    <w:rsid w:val="00E54CBA"/>
    <w:rsid w:val="00E54D00"/>
    <w:rsid w:val="00E54F12"/>
    <w:rsid w:val="00E56F4A"/>
    <w:rsid w:val="00E570BB"/>
    <w:rsid w:val="00E57687"/>
    <w:rsid w:val="00E57ECA"/>
    <w:rsid w:val="00E60E5F"/>
    <w:rsid w:val="00E6133E"/>
    <w:rsid w:val="00E6163A"/>
    <w:rsid w:val="00E635E7"/>
    <w:rsid w:val="00E639FF"/>
    <w:rsid w:val="00E64795"/>
    <w:rsid w:val="00E648DF"/>
    <w:rsid w:val="00E64E05"/>
    <w:rsid w:val="00E66329"/>
    <w:rsid w:val="00E66A02"/>
    <w:rsid w:val="00E71440"/>
    <w:rsid w:val="00E71CE1"/>
    <w:rsid w:val="00E72235"/>
    <w:rsid w:val="00E723DA"/>
    <w:rsid w:val="00E7274B"/>
    <w:rsid w:val="00E731D2"/>
    <w:rsid w:val="00E73A34"/>
    <w:rsid w:val="00E74705"/>
    <w:rsid w:val="00E74EA7"/>
    <w:rsid w:val="00E75280"/>
    <w:rsid w:val="00E762AF"/>
    <w:rsid w:val="00E76694"/>
    <w:rsid w:val="00E7677B"/>
    <w:rsid w:val="00E77260"/>
    <w:rsid w:val="00E80A07"/>
    <w:rsid w:val="00E813BE"/>
    <w:rsid w:val="00E82605"/>
    <w:rsid w:val="00E827C9"/>
    <w:rsid w:val="00E82B5C"/>
    <w:rsid w:val="00E840A0"/>
    <w:rsid w:val="00E840BF"/>
    <w:rsid w:val="00E843BA"/>
    <w:rsid w:val="00E843D6"/>
    <w:rsid w:val="00E84FB5"/>
    <w:rsid w:val="00E8510B"/>
    <w:rsid w:val="00E8594E"/>
    <w:rsid w:val="00E85BE1"/>
    <w:rsid w:val="00E85D71"/>
    <w:rsid w:val="00E86D00"/>
    <w:rsid w:val="00E87DFE"/>
    <w:rsid w:val="00E905FF"/>
    <w:rsid w:val="00E90E1B"/>
    <w:rsid w:val="00E91586"/>
    <w:rsid w:val="00E91589"/>
    <w:rsid w:val="00E94CA3"/>
    <w:rsid w:val="00E95628"/>
    <w:rsid w:val="00E958A6"/>
    <w:rsid w:val="00E9595D"/>
    <w:rsid w:val="00E95960"/>
    <w:rsid w:val="00E961C4"/>
    <w:rsid w:val="00EA069F"/>
    <w:rsid w:val="00EA11D1"/>
    <w:rsid w:val="00EA1978"/>
    <w:rsid w:val="00EA1EAA"/>
    <w:rsid w:val="00EA26C5"/>
    <w:rsid w:val="00EA2CD0"/>
    <w:rsid w:val="00EA382C"/>
    <w:rsid w:val="00EA3A71"/>
    <w:rsid w:val="00EA40A6"/>
    <w:rsid w:val="00EA49CF"/>
    <w:rsid w:val="00EA52DE"/>
    <w:rsid w:val="00EA5357"/>
    <w:rsid w:val="00EA556E"/>
    <w:rsid w:val="00EA6547"/>
    <w:rsid w:val="00EA6603"/>
    <w:rsid w:val="00EA6C9B"/>
    <w:rsid w:val="00EB01D5"/>
    <w:rsid w:val="00EB0521"/>
    <w:rsid w:val="00EB0DEB"/>
    <w:rsid w:val="00EB2FC8"/>
    <w:rsid w:val="00EB3575"/>
    <w:rsid w:val="00EB424C"/>
    <w:rsid w:val="00EB496F"/>
    <w:rsid w:val="00EB4DBE"/>
    <w:rsid w:val="00EB4DBF"/>
    <w:rsid w:val="00EB530C"/>
    <w:rsid w:val="00EB5BAF"/>
    <w:rsid w:val="00EB5F3C"/>
    <w:rsid w:val="00EB67FF"/>
    <w:rsid w:val="00EB7637"/>
    <w:rsid w:val="00EB79A6"/>
    <w:rsid w:val="00EC03D8"/>
    <w:rsid w:val="00EC1070"/>
    <w:rsid w:val="00EC136F"/>
    <w:rsid w:val="00EC1A55"/>
    <w:rsid w:val="00EC1D79"/>
    <w:rsid w:val="00EC4AC0"/>
    <w:rsid w:val="00EC4EDB"/>
    <w:rsid w:val="00EC5333"/>
    <w:rsid w:val="00EC53F5"/>
    <w:rsid w:val="00EC5746"/>
    <w:rsid w:val="00EC59D6"/>
    <w:rsid w:val="00EC67EA"/>
    <w:rsid w:val="00EC6B7E"/>
    <w:rsid w:val="00EC6DB1"/>
    <w:rsid w:val="00EC7CC5"/>
    <w:rsid w:val="00ED0D01"/>
    <w:rsid w:val="00ED0F29"/>
    <w:rsid w:val="00ED28CE"/>
    <w:rsid w:val="00ED3DA6"/>
    <w:rsid w:val="00ED410C"/>
    <w:rsid w:val="00ED4530"/>
    <w:rsid w:val="00ED48F6"/>
    <w:rsid w:val="00ED5DC0"/>
    <w:rsid w:val="00ED6B49"/>
    <w:rsid w:val="00ED72A6"/>
    <w:rsid w:val="00EE0C69"/>
    <w:rsid w:val="00EE0EB0"/>
    <w:rsid w:val="00EE1C02"/>
    <w:rsid w:val="00EE1D06"/>
    <w:rsid w:val="00EE1F0D"/>
    <w:rsid w:val="00EE2112"/>
    <w:rsid w:val="00EE4328"/>
    <w:rsid w:val="00EE730E"/>
    <w:rsid w:val="00EF01A0"/>
    <w:rsid w:val="00EF042A"/>
    <w:rsid w:val="00EF2034"/>
    <w:rsid w:val="00EF3E0A"/>
    <w:rsid w:val="00EF4079"/>
    <w:rsid w:val="00EF4850"/>
    <w:rsid w:val="00EF780B"/>
    <w:rsid w:val="00EF7B89"/>
    <w:rsid w:val="00F005B5"/>
    <w:rsid w:val="00F00CD0"/>
    <w:rsid w:val="00F01098"/>
    <w:rsid w:val="00F0133C"/>
    <w:rsid w:val="00F0176E"/>
    <w:rsid w:val="00F020ED"/>
    <w:rsid w:val="00F02CA5"/>
    <w:rsid w:val="00F037C9"/>
    <w:rsid w:val="00F05819"/>
    <w:rsid w:val="00F05C92"/>
    <w:rsid w:val="00F062D8"/>
    <w:rsid w:val="00F0676F"/>
    <w:rsid w:val="00F06838"/>
    <w:rsid w:val="00F068E0"/>
    <w:rsid w:val="00F06A06"/>
    <w:rsid w:val="00F06F2E"/>
    <w:rsid w:val="00F07805"/>
    <w:rsid w:val="00F078E0"/>
    <w:rsid w:val="00F07EDE"/>
    <w:rsid w:val="00F10072"/>
    <w:rsid w:val="00F102BA"/>
    <w:rsid w:val="00F108AF"/>
    <w:rsid w:val="00F10E65"/>
    <w:rsid w:val="00F1109B"/>
    <w:rsid w:val="00F1133B"/>
    <w:rsid w:val="00F11DE3"/>
    <w:rsid w:val="00F137B8"/>
    <w:rsid w:val="00F138EE"/>
    <w:rsid w:val="00F16BD4"/>
    <w:rsid w:val="00F17997"/>
    <w:rsid w:val="00F179AA"/>
    <w:rsid w:val="00F20563"/>
    <w:rsid w:val="00F2061F"/>
    <w:rsid w:val="00F20795"/>
    <w:rsid w:val="00F208FA"/>
    <w:rsid w:val="00F21DB6"/>
    <w:rsid w:val="00F22061"/>
    <w:rsid w:val="00F2230B"/>
    <w:rsid w:val="00F22AA1"/>
    <w:rsid w:val="00F23B05"/>
    <w:rsid w:val="00F2401F"/>
    <w:rsid w:val="00F25887"/>
    <w:rsid w:val="00F27445"/>
    <w:rsid w:val="00F27EE1"/>
    <w:rsid w:val="00F27F4B"/>
    <w:rsid w:val="00F30000"/>
    <w:rsid w:val="00F310A5"/>
    <w:rsid w:val="00F311D1"/>
    <w:rsid w:val="00F31719"/>
    <w:rsid w:val="00F3174D"/>
    <w:rsid w:val="00F33BF1"/>
    <w:rsid w:val="00F34FE9"/>
    <w:rsid w:val="00F35253"/>
    <w:rsid w:val="00F35743"/>
    <w:rsid w:val="00F3684E"/>
    <w:rsid w:val="00F36EBB"/>
    <w:rsid w:val="00F37415"/>
    <w:rsid w:val="00F37423"/>
    <w:rsid w:val="00F37443"/>
    <w:rsid w:val="00F3754A"/>
    <w:rsid w:val="00F37B9B"/>
    <w:rsid w:val="00F37F03"/>
    <w:rsid w:val="00F40849"/>
    <w:rsid w:val="00F4152F"/>
    <w:rsid w:val="00F41888"/>
    <w:rsid w:val="00F420C5"/>
    <w:rsid w:val="00F439B1"/>
    <w:rsid w:val="00F43A6F"/>
    <w:rsid w:val="00F43F9A"/>
    <w:rsid w:val="00F44584"/>
    <w:rsid w:val="00F44A40"/>
    <w:rsid w:val="00F46DFD"/>
    <w:rsid w:val="00F470DB"/>
    <w:rsid w:val="00F474EE"/>
    <w:rsid w:val="00F47860"/>
    <w:rsid w:val="00F50BE9"/>
    <w:rsid w:val="00F50E06"/>
    <w:rsid w:val="00F517B3"/>
    <w:rsid w:val="00F51CA9"/>
    <w:rsid w:val="00F52A80"/>
    <w:rsid w:val="00F52AAC"/>
    <w:rsid w:val="00F52B6A"/>
    <w:rsid w:val="00F53AFB"/>
    <w:rsid w:val="00F53D6B"/>
    <w:rsid w:val="00F5409B"/>
    <w:rsid w:val="00F543CA"/>
    <w:rsid w:val="00F54D4E"/>
    <w:rsid w:val="00F55780"/>
    <w:rsid w:val="00F56049"/>
    <w:rsid w:val="00F567AF"/>
    <w:rsid w:val="00F56CAC"/>
    <w:rsid w:val="00F570A3"/>
    <w:rsid w:val="00F61297"/>
    <w:rsid w:val="00F61600"/>
    <w:rsid w:val="00F61B1A"/>
    <w:rsid w:val="00F62094"/>
    <w:rsid w:val="00F6228B"/>
    <w:rsid w:val="00F625F3"/>
    <w:rsid w:val="00F6275E"/>
    <w:rsid w:val="00F6383A"/>
    <w:rsid w:val="00F63F0D"/>
    <w:rsid w:val="00F63F57"/>
    <w:rsid w:val="00F6406D"/>
    <w:rsid w:val="00F64FC0"/>
    <w:rsid w:val="00F6558F"/>
    <w:rsid w:val="00F65864"/>
    <w:rsid w:val="00F67B3D"/>
    <w:rsid w:val="00F67F71"/>
    <w:rsid w:val="00F7050E"/>
    <w:rsid w:val="00F71010"/>
    <w:rsid w:val="00F71625"/>
    <w:rsid w:val="00F71817"/>
    <w:rsid w:val="00F71CF3"/>
    <w:rsid w:val="00F724C5"/>
    <w:rsid w:val="00F735FC"/>
    <w:rsid w:val="00F74151"/>
    <w:rsid w:val="00F74238"/>
    <w:rsid w:val="00F74971"/>
    <w:rsid w:val="00F74C76"/>
    <w:rsid w:val="00F758E1"/>
    <w:rsid w:val="00F759CF"/>
    <w:rsid w:val="00F77073"/>
    <w:rsid w:val="00F77632"/>
    <w:rsid w:val="00F800B6"/>
    <w:rsid w:val="00F80157"/>
    <w:rsid w:val="00F80324"/>
    <w:rsid w:val="00F811F8"/>
    <w:rsid w:val="00F81811"/>
    <w:rsid w:val="00F83778"/>
    <w:rsid w:val="00F841B7"/>
    <w:rsid w:val="00F849F2"/>
    <w:rsid w:val="00F84A64"/>
    <w:rsid w:val="00F84CE9"/>
    <w:rsid w:val="00F857EE"/>
    <w:rsid w:val="00F85C01"/>
    <w:rsid w:val="00F86297"/>
    <w:rsid w:val="00F862BB"/>
    <w:rsid w:val="00F86502"/>
    <w:rsid w:val="00F90840"/>
    <w:rsid w:val="00F90AC1"/>
    <w:rsid w:val="00F90C60"/>
    <w:rsid w:val="00F92B77"/>
    <w:rsid w:val="00F9300E"/>
    <w:rsid w:val="00F93850"/>
    <w:rsid w:val="00F9475A"/>
    <w:rsid w:val="00F94824"/>
    <w:rsid w:val="00F94B6D"/>
    <w:rsid w:val="00F9577D"/>
    <w:rsid w:val="00F95A0A"/>
    <w:rsid w:val="00F95D76"/>
    <w:rsid w:val="00F96781"/>
    <w:rsid w:val="00F96922"/>
    <w:rsid w:val="00F96986"/>
    <w:rsid w:val="00F973AD"/>
    <w:rsid w:val="00F97742"/>
    <w:rsid w:val="00FA0EA0"/>
    <w:rsid w:val="00FA0EE9"/>
    <w:rsid w:val="00FA1E9F"/>
    <w:rsid w:val="00FA378C"/>
    <w:rsid w:val="00FA38FF"/>
    <w:rsid w:val="00FA51A3"/>
    <w:rsid w:val="00FA667E"/>
    <w:rsid w:val="00FA6A32"/>
    <w:rsid w:val="00FA76B7"/>
    <w:rsid w:val="00FB07C9"/>
    <w:rsid w:val="00FB0F3D"/>
    <w:rsid w:val="00FB16A0"/>
    <w:rsid w:val="00FB1F81"/>
    <w:rsid w:val="00FB29A1"/>
    <w:rsid w:val="00FB2CF8"/>
    <w:rsid w:val="00FB3356"/>
    <w:rsid w:val="00FB4241"/>
    <w:rsid w:val="00FB482E"/>
    <w:rsid w:val="00FB49C5"/>
    <w:rsid w:val="00FB58AF"/>
    <w:rsid w:val="00FB693F"/>
    <w:rsid w:val="00FB6B6B"/>
    <w:rsid w:val="00FB743E"/>
    <w:rsid w:val="00FB7842"/>
    <w:rsid w:val="00FB7884"/>
    <w:rsid w:val="00FB7D92"/>
    <w:rsid w:val="00FB7EFC"/>
    <w:rsid w:val="00FC0199"/>
    <w:rsid w:val="00FC10F9"/>
    <w:rsid w:val="00FC1137"/>
    <w:rsid w:val="00FC1621"/>
    <w:rsid w:val="00FC16DE"/>
    <w:rsid w:val="00FC230B"/>
    <w:rsid w:val="00FC263B"/>
    <w:rsid w:val="00FC282C"/>
    <w:rsid w:val="00FC2ECF"/>
    <w:rsid w:val="00FC304B"/>
    <w:rsid w:val="00FC3536"/>
    <w:rsid w:val="00FC3911"/>
    <w:rsid w:val="00FC4B83"/>
    <w:rsid w:val="00FC54D2"/>
    <w:rsid w:val="00FC567B"/>
    <w:rsid w:val="00FC58D2"/>
    <w:rsid w:val="00FC5A30"/>
    <w:rsid w:val="00FC6FBB"/>
    <w:rsid w:val="00FC740B"/>
    <w:rsid w:val="00FD0CF0"/>
    <w:rsid w:val="00FD0DF2"/>
    <w:rsid w:val="00FD1789"/>
    <w:rsid w:val="00FD17AC"/>
    <w:rsid w:val="00FD195A"/>
    <w:rsid w:val="00FD1B8F"/>
    <w:rsid w:val="00FD1CD8"/>
    <w:rsid w:val="00FD1DE4"/>
    <w:rsid w:val="00FD2DDC"/>
    <w:rsid w:val="00FD3693"/>
    <w:rsid w:val="00FD3A02"/>
    <w:rsid w:val="00FD3F86"/>
    <w:rsid w:val="00FD4EAD"/>
    <w:rsid w:val="00FD542E"/>
    <w:rsid w:val="00FD5CAB"/>
    <w:rsid w:val="00FD61D1"/>
    <w:rsid w:val="00FD69DD"/>
    <w:rsid w:val="00FD729F"/>
    <w:rsid w:val="00FD72F1"/>
    <w:rsid w:val="00FD7CFB"/>
    <w:rsid w:val="00FD7EBF"/>
    <w:rsid w:val="00FE03A9"/>
    <w:rsid w:val="00FE079D"/>
    <w:rsid w:val="00FE0AAF"/>
    <w:rsid w:val="00FE15A5"/>
    <w:rsid w:val="00FE1886"/>
    <w:rsid w:val="00FE1B99"/>
    <w:rsid w:val="00FE2D56"/>
    <w:rsid w:val="00FE3399"/>
    <w:rsid w:val="00FE3D6B"/>
    <w:rsid w:val="00FE3EC5"/>
    <w:rsid w:val="00FE4432"/>
    <w:rsid w:val="00FE47E7"/>
    <w:rsid w:val="00FE53FF"/>
    <w:rsid w:val="00FE5573"/>
    <w:rsid w:val="00FE6BB1"/>
    <w:rsid w:val="00FE6C39"/>
    <w:rsid w:val="00FE714F"/>
    <w:rsid w:val="00FF0405"/>
    <w:rsid w:val="00FF0BD3"/>
    <w:rsid w:val="00FF0E48"/>
    <w:rsid w:val="00FF1646"/>
    <w:rsid w:val="00FF2240"/>
    <w:rsid w:val="00FF22C7"/>
    <w:rsid w:val="00FF38EC"/>
    <w:rsid w:val="00FF407B"/>
    <w:rsid w:val="00FF43C5"/>
    <w:rsid w:val="00FF4895"/>
    <w:rsid w:val="00FF5224"/>
    <w:rsid w:val="00FF54DA"/>
    <w:rsid w:val="00FF5B5A"/>
    <w:rsid w:val="00FF62D5"/>
    <w:rsid w:val="00FF66A4"/>
    <w:rsid w:val="00FF682B"/>
    <w:rsid w:val="00FF7F47"/>
    <w:rsid w:val="00FF7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90113"/>
    <o:shapelayout v:ext="edit">
      <o:idmap v:ext="edit" data="1"/>
    </o:shapelayout>
  </w:shapeDefaults>
  <w:decimalSymbol w:val=","/>
  <w:listSeparator w:val=";"/>
  <w14:docId w14:val="20CB0F0A"/>
  <w15:docId w15:val="{90B9461F-FDA2-493E-A4CF-8E679A10B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mt-MT" w:eastAsia="mt-MT" w:bidi="mt-MT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7EFC"/>
    <w:pPr>
      <w:spacing w:after="200" w:line="276" w:lineRule="auto"/>
    </w:pPr>
    <w:rPr>
      <w:rFonts w:ascii="Cambria" w:eastAsia="Times New Roman" w:hAnsi="Cambria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19DA"/>
    <w:pPr>
      <w:numPr>
        <w:numId w:val="1"/>
      </w:numPr>
      <w:spacing w:before="240" w:after="120"/>
      <w:ind w:left="0"/>
      <w:contextualSpacing/>
      <w:jc w:val="both"/>
      <w:outlineLvl w:val="0"/>
    </w:pPr>
    <w:rPr>
      <w:rFonts w:ascii="Times New Roman" w:hAnsi="Times New Roman"/>
      <w:b/>
      <w:spacing w:val="5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D0F29"/>
    <w:pPr>
      <w:numPr>
        <w:ilvl w:val="1"/>
        <w:numId w:val="1"/>
      </w:numPr>
      <w:spacing w:before="240" w:after="120" w:line="271" w:lineRule="auto"/>
      <w:ind w:left="720"/>
      <w:jc w:val="both"/>
      <w:outlineLvl w:val="1"/>
    </w:pPr>
    <w:rPr>
      <w:rFonts w:ascii="Times New Roman" w:hAnsi="Times New Roman"/>
      <w:u w:val="singl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F6255"/>
    <w:pPr>
      <w:numPr>
        <w:ilvl w:val="2"/>
        <w:numId w:val="1"/>
      </w:numPr>
      <w:spacing w:before="240" w:after="120" w:line="271" w:lineRule="auto"/>
      <w:ind w:left="1440"/>
      <w:jc w:val="both"/>
      <w:outlineLvl w:val="2"/>
    </w:pPr>
    <w:rPr>
      <w:rFonts w:ascii="TimesNewRomanPSMT" w:hAnsi="TimesNewRomanPSMT"/>
      <w:color w:val="000000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FB7EFC"/>
    <w:pPr>
      <w:numPr>
        <w:ilvl w:val="3"/>
        <w:numId w:val="1"/>
      </w:num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F22C7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F22C7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F22C7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F22C7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F22C7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AF19DA"/>
    <w:rPr>
      <w:rFonts w:ascii="Times New Roman" w:eastAsia="Times New Roman" w:hAnsi="Times New Roman"/>
      <w:b/>
      <w:spacing w:val="5"/>
      <w:sz w:val="22"/>
      <w:szCs w:val="22"/>
      <w:lang w:val="mt-MT" w:eastAsia="mt-MT" w:bidi="mt-MT"/>
    </w:rPr>
  </w:style>
  <w:style w:type="character" w:customStyle="1" w:styleId="Heading2Char">
    <w:name w:val="Heading 2 Char"/>
    <w:link w:val="Heading2"/>
    <w:uiPriority w:val="9"/>
    <w:rsid w:val="00ED0F29"/>
    <w:rPr>
      <w:rFonts w:ascii="Times New Roman" w:eastAsia="Times New Roman" w:hAnsi="Times New Roman"/>
      <w:sz w:val="22"/>
      <w:szCs w:val="22"/>
      <w:u w:val="single"/>
      <w:lang w:val="mt-MT" w:eastAsia="mt-MT" w:bidi="mt-MT"/>
    </w:rPr>
  </w:style>
  <w:style w:type="character" w:customStyle="1" w:styleId="Heading3Char">
    <w:name w:val="Heading 3 Char"/>
    <w:link w:val="Heading3"/>
    <w:uiPriority w:val="9"/>
    <w:rsid w:val="003F6255"/>
    <w:rPr>
      <w:rFonts w:ascii="TimesNewRomanPSMT" w:eastAsia="Times New Roman" w:hAnsi="TimesNewRomanPSMT"/>
      <w:color w:val="000000"/>
      <w:sz w:val="22"/>
      <w:szCs w:val="22"/>
      <w:lang w:val="mt-MT" w:eastAsia="mt-MT" w:bidi="mt-MT"/>
    </w:rPr>
  </w:style>
  <w:style w:type="character" w:customStyle="1" w:styleId="Heading4Char">
    <w:name w:val="Heading 4 Char"/>
    <w:link w:val="Heading4"/>
    <w:uiPriority w:val="9"/>
    <w:rsid w:val="00FB7EFC"/>
    <w:rPr>
      <w:rFonts w:ascii="Cambria" w:eastAsia="Times New Roman" w:hAnsi="Cambria"/>
      <w:b/>
      <w:bCs/>
      <w:spacing w:val="5"/>
      <w:sz w:val="24"/>
      <w:szCs w:val="24"/>
      <w:lang w:val="mt-MT" w:eastAsia="mt-MT" w:bidi="mt-MT"/>
    </w:rPr>
  </w:style>
  <w:style w:type="character" w:styleId="FootnoteReference">
    <w:name w:val="footnote reference"/>
    <w:uiPriority w:val="99"/>
    <w:rsid w:val="00FB7EFC"/>
    <w:rPr>
      <w:rFonts w:cs="Times New Roman"/>
      <w:vertAlign w:val="superscript"/>
    </w:rPr>
  </w:style>
  <w:style w:type="paragraph" w:styleId="ListParagraph">
    <w:name w:val="List Paragraph"/>
    <w:basedOn w:val="Normal"/>
    <w:uiPriority w:val="34"/>
    <w:qFormat/>
    <w:rsid w:val="00FB7EFC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rsid w:val="00FB7EFC"/>
    <w:rPr>
      <w:rFonts w:ascii="Verdana" w:hAnsi="Verdana"/>
      <w:sz w:val="20"/>
      <w:szCs w:val="20"/>
    </w:rPr>
  </w:style>
  <w:style w:type="character" w:customStyle="1" w:styleId="NotedebasdepageCar">
    <w:name w:val="Note de bas de page Car"/>
    <w:rsid w:val="00FB7EFC"/>
    <w:rPr>
      <w:rFonts w:ascii="Cambria" w:eastAsia="Times New Roman" w:hAnsi="Cambria" w:cs="Times New Roman"/>
      <w:sz w:val="20"/>
      <w:szCs w:val="20"/>
      <w:lang w:val="mt-MT" w:bidi="mt-MT"/>
    </w:rPr>
  </w:style>
  <w:style w:type="character" w:customStyle="1" w:styleId="FootnoteTextChar">
    <w:name w:val="Footnote Text Char"/>
    <w:link w:val="FootnoteText"/>
    <w:uiPriority w:val="99"/>
    <w:locked/>
    <w:rsid w:val="00FB7EFC"/>
    <w:rPr>
      <w:rFonts w:ascii="Verdana" w:eastAsia="Times New Roman" w:hAnsi="Verdana" w:cs="Times New Roman"/>
      <w:sz w:val="20"/>
      <w:szCs w:val="20"/>
      <w:lang w:val="mt-MT" w:eastAsia="mt-MT"/>
    </w:rPr>
  </w:style>
  <w:style w:type="character" w:styleId="CommentReference">
    <w:name w:val="annotation reference"/>
    <w:uiPriority w:val="99"/>
    <w:rsid w:val="00FB7EFC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FB7EFC"/>
    <w:rPr>
      <w:sz w:val="20"/>
      <w:szCs w:val="20"/>
    </w:rPr>
  </w:style>
  <w:style w:type="character" w:customStyle="1" w:styleId="CommentaireCar">
    <w:name w:val="Commentaire Car"/>
    <w:uiPriority w:val="99"/>
    <w:rsid w:val="00FB7EFC"/>
    <w:rPr>
      <w:rFonts w:ascii="Cambria" w:eastAsia="Times New Roman" w:hAnsi="Cambria" w:cs="Times New Roman"/>
      <w:sz w:val="20"/>
      <w:szCs w:val="20"/>
      <w:lang w:val="mt-MT" w:bidi="mt-MT"/>
    </w:rPr>
  </w:style>
  <w:style w:type="character" w:customStyle="1" w:styleId="CommentTextChar">
    <w:name w:val="Comment Text Char"/>
    <w:link w:val="CommentText"/>
    <w:uiPriority w:val="99"/>
    <w:locked/>
    <w:rsid w:val="00FB7EFC"/>
    <w:rPr>
      <w:rFonts w:ascii="Cambria" w:eastAsia="Times New Roman" w:hAnsi="Cambria" w:cs="Times New Roman"/>
      <w:sz w:val="20"/>
      <w:szCs w:val="20"/>
      <w:lang w:val="mt-MT" w:eastAsia="mt-MT"/>
    </w:rPr>
  </w:style>
  <w:style w:type="paragraph" w:styleId="Header">
    <w:name w:val="header"/>
    <w:basedOn w:val="Normal"/>
    <w:link w:val="HeaderChar"/>
    <w:uiPriority w:val="99"/>
    <w:rsid w:val="00FB7EFC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HeaderChar">
    <w:name w:val="Header Char"/>
    <w:link w:val="Header"/>
    <w:uiPriority w:val="99"/>
    <w:rsid w:val="00FB7EFC"/>
    <w:rPr>
      <w:rFonts w:ascii="Cambria" w:eastAsia="Times New Roman" w:hAnsi="Cambria" w:cs="Times New Roman"/>
      <w:sz w:val="24"/>
      <w:szCs w:val="24"/>
      <w:lang w:val="mt-MT" w:eastAsia="mt-MT"/>
    </w:rPr>
  </w:style>
  <w:style w:type="paragraph" w:styleId="Footer">
    <w:name w:val="footer"/>
    <w:basedOn w:val="Normal"/>
    <w:link w:val="FooterChar"/>
    <w:uiPriority w:val="99"/>
    <w:rsid w:val="00FB7EFC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FooterChar">
    <w:name w:val="Footer Char"/>
    <w:link w:val="Footer"/>
    <w:uiPriority w:val="99"/>
    <w:rsid w:val="00FB7EFC"/>
    <w:rPr>
      <w:rFonts w:ascii="Cambria" w:eastAsia="Times New Roman" w:hAnsi="Cambria" w:cs="Times New Roman"/>
      <w:sz w:val="24"/>
      <w:szCs w:val="24"/>
      <w:lang w:val="mt-MT" w:eastAsia="mt-M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B7E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B7EFC"/>
    <w:rPr>
      <w:rFonts w:ascii="Tahoma" w:eastAsia="Times New Roman" w:hAnsi="Tahoma" w:cs="Tahoma"/>
      <w:sz w:val="16"/>
      <w:szCs w:val="16"/>
      <w:lang w:val="mt-MT" w:bidi="mt-M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C0F3B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C0F3B"/>
    <w:rPr>
      <w:rFonts w:ascii="Cambria" w:eastAsia="Times New Roman" w:hAnsi="Cambria" w:cs="Times New Roman"/>
      <w:b/>
      <w:bCs/>
      <w:sz w:val="20"/>
      <w:szCs w:val="20"/>
      <w:lang w:val="mt-MT" w:eastAsia="mt-MT" w:bidi="mt-MT"/>
    </w:rPr>
  </w:style>
  <w:style w:type="paragraph" w:styleId="Revision">
    <w:name w:val="Revision"/>
    <w:hidden/>
    <w:uiPriority w:val="99"/>
    <w:semiHidden/>
    <w:rsid w:val="009C0F3B"/>
    <w:rPr>
      <w:rFonts w:ascii="Cambria" w:eastAsia="Times New Roman" w:hAnsi="Cambria"/>
      <w:sz w:val="22"/>
      <w:szCs w:val="22"/>
    </w:rPr>
  </w:style>
  <w:style w:type="paragraph" w:customStyle="1" w:styleId="c19centre">
    <w:name w:val="c19centre"/>
    <w:basedOn w:val="Normal"/>
    <w:rsid w:val="005266D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Hyperlink">
    <w:name w:val="Hyperlink"/>
    <w:uiPriority w:val="99"/>
    <w:unhideWhenUsed/>
    <w:rsid w:val="005266D1"/>
    <w:rPr>
      <w:color w:val="0000FF"/>
      <w:u w:val="single"/>
    </w:rPr>
  </w:style>
  <w:style w:type="character" w:customStyle="1" w:styleId="st">
    <w:name w:val="st"/>
    <w:rsid w:val="009C1C8F"/>
  </w:style>
  <w:style w:type="character" w:styleId="Emphasis">
    <w:name w:val="Emphasis"/>
    <w:uiPriority w:val="20"/>
    <w:qFormat/>
    <w:rsid w:val="009C1C8F"/>
    <w:rPr>
      <w:i/>
      <w:iCs/>
    </w:rPr>
  </w:style>
  <w:style w:type="character" w:customStyle="1" w:styleId="apple-converted-space">
    <w:name w:val="apple-converted-space"/>
    <w:basedOn w:val="DefaultParagraphFont"/>
    <w:rsid w:val="00677FBF"/>
  </w:style>
  <w:style w:type="character" w:customStyle="1" w:styleId="st1">
    <w:name w:val="st1"/>
    <w:basedOn w:val="DefaultParagraphFont"/>
    <w:rsid w:val="00A90096"/>
  </w:style>
  <w:style w:type="paragraph" w:customStyle="1" w:styleId="Default">
    <w:name w:val="Default"/>
    <w:rsid w:val="00694F5A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5B7893"/>
    <w:rPr>
      <w:color w:val="800080" w:themeColor="followedHyperlink"/>
      <w:u w:val="single"/>
    </w:rPr>
  </w:style>
  <w:style w:type="paragraph" w:customStyle="1" w:styleId="ZDGName">
    <w:name w:val="Z_DGName"/>
    <w:basedOn w:val="Normal"/>
    <w:rsid w:val="004651F2"/>
    <w:pPr>
      <w:widowControl w:val="0"/>
      <w:spacing w:after="0" w:line="240" w:lineRule="auto"/>
      <w:ind w:right="85"/>
      <w:jc w:val="both"/>
    </w:pPr>
    <w:rPr>
      <w:rFonts w:ascii="Arial" w:hAnsi="Arial" w:cs="Arial"/>
      <w:snapToGrid w:val="0"/>
      <w:sz w:val="16"/>
      <w:szCs w:val="16"/>
    </w:rPr>
  </w:style>
  <w:style w:type="table" w:styleId="TableGrid">
    <w:name w:val="Table Grid"/>
    <w:basedOn w:val="TableNormal"/>
    <w:uiPriority w:val="59"/>
    <w:rsid w:val="00F05C92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basedOn w:val="Normal"/>
    <w:next w:val="Normal"/>
    <w:autoRedefine/>
    <w:uiPriority w:val="39"/>
    <w:unhideWhenUsed/>
    <w:rsid w:val="00E639FF"/>
    <w:pPr>
      <w:tabs>
        <w:tab w:val="left" w:pos="440"/>
        <w:tab w:val="right" w:leader="dot" w:pos="9062"/>
      </w:tabs>
      <w:spacing w:before="240" w:after="120"/>
    </w:pPr>
    <w:rPr>
      <w:rFonts w:asciiTheme="minorHAnsi" w:hAnsiTheme="minorHAnsi"/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E639FF"/>
    <w:pPr>
      <w:tabs>
        <w:tab w:val="left" w:pos="880"/>
        <w:tab w:val="right" w:leader="dot" w:pos="9062"/>
      </w:tabs>
      <w:spacing w:before="120" w:after="60"/>
      <w:ind w:left="221"/>
    </w:pPr>
    <w:rPr>
      <w:rFonts w:asciiTheme="minorHAnsi" w:hAnsiTheme="minorHAnsi"/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E639FF"/>
    <w:pPr>
      <w:tabs>
        <w:tab w:val="left" w:pos="880"/>
        <w:tab w:val="right" w:leader="dot" w:pos="9062"/>
      </w:tabs>
      <w:spacing w:before="60" w:after="0"/>
      <w:ind w:left="442"/>
    </w:pPr>
    <w:rPr>
      <w:rFonts w:asciiTheme="minorHAnsi" w:hAnsiTheme="minorHAnsi"/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E44AD7"/>
    <w:pPr>
      <w:spacing w:after="0"/>
      <w:ind w:left="660"/>
    </w:pPr>
    <w:rPr>
      <w:rFonts w:asciiTheme="minorHAnsi" w:hAnsiTheme="minorHAnsi"/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E44AD7"/>
    <w:pPr>
      <w:spacing w:after="0"/>
      <w:ind w:left="880"/>
    </w:pPr>
    <w:rPr>
      <w:rFonts w:asciiTheme="minorHAnsi" w:hAnsiTheme="minorHAnsi"/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E44AD7"/>
    <w:pPr>
      <w:spacing w:after="0"/>
      <w:ind w:left="1100"/>
    </w:pPr>
    <w:rPr>
      <w:rFonts w:asciiTheme="minorHAnsi" w:hAnsiTheme="minorHAnsi"/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E44AD7"/>
    <w:pPr>
      <w:spacing w:after="0"/>
      <w:ind w:left="1320"/>
    </w:pPr>
    <w:rPr>
      <w:rFonts w:asciiTheme="minorHAnsi" w:hAnsiTheme="minorHAnsi"/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E44AD7"/>
    <w:pPr>
      <w:spacing w:after="0"/>
      <w:ind w:left="1540"/>
    </w:pPr>
    <w:rPr>
      <w:rFonts w:asciiTheme="minorHAnsi" w:hAnsiTheme="minorHAnsi"/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E44AD7"/>
    <w:pPr>
      <w:spacing w:after="0"/>
      <w:ind w:left="1760"/>
    </w:pPr>
    <w:rPr>
      <w:rFonts w:asciiTheme="minorHAnsi" w:hAnsiTheme="minorHAnsi"/>
      <w:sz w:val="18"/>
      <w:szCs w:val="18"/>
    </w:rPr>
  </w:style>
  <w:style w:type="paragraph" w:styleId="BodyText">
    <w:name w:val="Body Text"/>
    <w:basedOn w:val="Normal"/>
    <w:link w:val="BodyTextChar"/>
    <w:semiHidden/>
    <w:rsid w:val="008E5D7D"/>
    <w:pPr>
      <w:spacing w:after="240" w:line="240" w:lineRule="atLeast"/>
      <w:ind w:firstLine="360"/>
      <w:jc w:val="both"/>
    </w:pPr>
    <w:rPr>
      <w:rFonts w:ascii="Arial" w:hAnsi="Arial"/>
      <w:sz w:val="20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8E5D7D"/>
    <w:rPr>
      <w:rFonts w:ascii="Arial" w:eastAsia="Times New Roman" w:hAnsi="Arial"/>
      <w:lang w:eastAsia="mt-MT"/>
    </w:rPr>
  </w:style>
  <w:style w:type="paragraph" w:customStyle="1" w:styleId="En-ttedemessagePremier">
    <w:name w:val="En-tête de message (Premier)"/>
    <w:rsid w:val="008E5D7D"/>
    <w:pPr>
      <w:keepLines/>
      <w:spacing w:before="360" w:after="120" w:line="240" w:lineRule="atLeast"/>
      <w:ind w:left="1080" w:hanging="1080"/>
    </w:pPr>
    <w:rPr>
      <w:rFonts w:ascii="Arial" w:hAnsi="Arial"/>
      <w:caps/>
      <w:sz w:val="18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8E5D7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8E5D7D"/>
    <w:rPr>
      <w:rFonts w:asciiTheme="majorHAnsi" w:eastAsiaTheme="majorEastAsia" w:hAnsiTheme="majorHAnsi" w:cstheme="majorBidi"/>
      <w:sz w:val="24"/>
      <w:szCs w:val="24"/>
      <w:shd w:val="pct20" w:color="auto" w:fill="auto"/>
      <w:lang w:val="mt-MT" w:eastAsia="mt-MT" w:bidi="mt-MT"/>
    </w:rPr>
  </w:style>
  <w:style w:type="character" w:customStyle="1" w:styleId="italique">
    <w:name w:val="italique"/>
    <w:basedOn w:val="DefaultParagraphFont"/>
    <w:rsid w:val="001D124B"/>
  </w:style>
  <w:style w:type="character" w:styleId="Strong">
    <w:name w:val="Strong"/>
    <w:basedOn w:val="DefaultParagraphFont"/>
    <w:uiPriority w:val="22"/>
    <w:qFormat/>
    <w:rsid w:val="003452BA"/>
    <w:rPr>
      <w:b/>
      <w:bCs/>
    </w:rPr>
  </w:style>
  <w:style w:type="paragraph" w:styleId="NoSpacing">
    <w:name w:val="No Spacing"/>
    <w:uiPriority w:val="1"/>
    <w:qFormat/>
    <w:rsid w:val="00FB1F81"/>
    <w:rPr>
      <w:rFonts w:ascii="Cambria" w:eastAsia="Times New Roman" w:hAnsi="Cambria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F22C7"/>
    <w:rPr>
      <w:rFonts w:asciiTheme="majorHAnsi" w:eastAsiaTheme="majorEastAsia" w:hAnsiTheme="majorHAnsi" w:cstheme="majorBidi"/>
      <w:color w:val="365F91" w:themeColor="accent1" w:themeShade="BF"/>
      <w:sz w:val="22"/>
      <w:szCs w:val="22"/>
      <w:lang w:val="mt-MT" w:eastAsia="mt-MT" w:bidi="mt-MT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F22C7"/>
    <w:rPr>
      <w:rFonts w:asciiTheme="majorHAnsi" w:eastAsiaTheme="majorEastAsia" w:hAnsiTheme="majorHAnsi" w:cstheme="majorBidi"/>
      <w:color w:val="243F60" w:themeColor="accent1" w:themeShade="7F"/>
      <w:sz w:val="22"/>
      <w:szCs w:val="22"/>
      <w:lang w:val="mt-MT" w:eastAsia="mt-MT" w:bidi="mt-MT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F22C7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val="mt-MT" w:eastAsia="mt-MT" w:bidi="mt-MT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F22C7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mt-MT" w:eastAsia="mt-MT" w:bidi="mt-MT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F22C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mt-MT" w:eastAsia="mt-MT" w:bidi="mt-MT"/>
    </w:rPr>
  </w:style>
  <w:style w:type="paragraph" w:styleId="NormalWeb">
    <w:name w:val="Normal (Web)"/>
    <w:basedOn w:val="Normal"/>
    <w:uiPriority w:val="99"/>
    <w:unhideWhenUsed/>
    <w:rsid w:val="00B41100"/>
    <w:pPr>
      <w:spacing w:after="240" w:line="240" w:lineRule="auto"/>
    </w:pPr>
    <w:rPr>
      <w:rFonts w:ascii="Times New Roman" w:hAnsi="Times New Roman"/>
      <w:sz w:val="24"/>
      <w:szCs w:val="24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4253B7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4253B7"/>
    <w:rPr>
      <w:rFonts w:ascii="Consolas" w:eastAsia="Times New Roman" w:hAnsi="Consolas" w:cs="Consolas"/>
      <w:sz w:val="21"/>
      <w:szCs w:val="21"/>
      <w:lang w:val="mt-MT" w:eastAsia="mt-MT" w:bidi="mt-MT"/>
    </w:rPr>
  </w:style>
  <w:style w:type="character" w:customStyle="1" w:styleId="name">
    <w:name w:val="name"/>
    <w:basedOn w:val="DefaultParagraphFont"/>
    <w:rsid w:val="003B78C6"/>
  </w:style>
  <w:style w:type="character" w:customStyle="1" w:styleId="xref-sep2">
    <w:name w:val="xref-sep2"/>
    <w:basedOn w:val="DefaultParagraphFont"/>
    <w:rsid w:val="003B78C6"/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E553B"/>
    <w:pPr>
      <w:keepNext/>
      <w:keepLines/>
      <w:numPr>
        <w:numId w:val="0"/>
      </w:numPr>
      <w:spacing w:before="480" w:after="0"/>
      <w:contextualSpacing w:val="0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pacing w:val="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9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852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26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212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268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790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79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96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680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19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93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22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43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4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988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65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69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31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63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63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144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6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1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41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68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183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16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90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94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90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340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88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414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27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606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34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25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59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99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84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29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8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26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69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3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3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3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7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217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31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72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132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803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270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40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29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61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592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17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07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891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8842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30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0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2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8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2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5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26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859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779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900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78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99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914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94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67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822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487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92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192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928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78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625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4464450">
                  <w:marLeft w:val="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3742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8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07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58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2924155">
                  <w:marLeft w:val="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899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6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11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87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93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54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765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15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00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80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16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0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8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75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574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983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094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670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43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57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032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9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2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9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1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9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3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7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9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07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66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6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30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38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70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652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1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5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02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73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83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69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71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73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482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892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444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41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10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23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84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66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17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862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879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5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52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83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05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952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2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775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760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03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428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93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07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23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80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5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543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03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84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91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91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53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864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383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027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864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22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707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8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4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544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739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7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08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33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28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64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414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448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6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67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36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376125">
                  <w:marLeft w:val="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188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9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7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9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81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96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318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3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1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83279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275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35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8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1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64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249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47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616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5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1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5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2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64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345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03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55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732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09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916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627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130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36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82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378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91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46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9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4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821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49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71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2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63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8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80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843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85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54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453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78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49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40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7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052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32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8597224">
                  <w:marLeft w:val="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s://ec.europa.eu/info/law/law-topic/data-protection_mt" TargetMode="External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https://rmf.org/wp-content/uploads/2017/10/CNSSI-4009.pdf" TargetMode="External"/><Relationship Id="rId13" Type="http://schemas.openxmlformats.org/officeDocument/2006/relationships/hyperlink" Target="http://ec.europa.eu/newsroom/document.cfm?doc_id=44102" TargetMode="External"/><Relationship Id="rId18" Type="http://schemas.openxmlformats.org/officeDocument/2006/relationships/hyperlink" Target="http://eur-lex.europa.eu/LexUriServ/LexUriServ.do?uri=OJ:L:2013:173:0002:0008:mt:PDF" TargetMode="External"/><Relationship Id="rId3" Type="http://schemas.openxmlformats.org/officeDocument/2006/relationships/hyperlink" Target="https://www.dataprotection.ie/docs/Data_Security_Breach_Code_of_Practice/1082.htm" TargetMode="External"/><Relationship Id="rId21" Type="http://schemas.openxmlformats.org/officeDocument/2006/relationships/hyperlink" Target="http://eur-lex.europa.eu/legal-content/MT/TXT/?uri=uriserv:OJ.L_.2014.257.01.0073.01.MLT" TargetMode="External"/><Relationship Id="rId7" Type="http://schemas.openxmlformats.org/officeDocument/2006/relationships/hyperlink" Target="http://nvlpubs.nist.gov/nistpubs/SpecialPublications/NIST.SP.800-53r4.pdf" TargetMode="External"/><Relationship Id="rId12" Type="http://schemas.openxmlformats.org/officeDocument/2006/relationships/hyperlink" Target="http://eur-lex.europa.eu/legal-content/MT/TXT/HTML/?uri=CELEX:31971R1182&amp;from=MT" TargetMode="External"/><Relationship Id="rId17" Type="http://schemas.openxmlformats.org/officeDocument/2006/relationships/hyperlink" Target="http://ec.europa.eu/newsroom/document.cfm?doc_id=44137" TargetMode="External"/><Relationship Id="rId2" Type="http://schemas.openxmlformats.org/officeDocument/2006/relationships/hyperlink" Target="http://eur-lex.europa.eu/legal-content/MT/TXT/?uri=CELEX:32013R0611" TargetMode="External"/><Relationship Id="rId16" Type="http://schemas.openxmlformats.org/officeDocument/2006/relationships/hyperlink" Target="http://ec.europa.eu/newsroom/just/document.cfm?doc_id=48850" TargetMode="External"/><Relationship Id="rId20" Type="http://schemas.openxmlformats.org/officeDocument/2006/relationships/hyperlink" Target="http://ec.europa.eu/newsroom/just/item-detail.cfm?item_id=50083" TargetMode="External"/><Relationship Id="rId1" Type="http://schemas.openxmlformats.org/officeDocument/2006/relationships/hyperlink" Target="http://eur-lex.europa.eu/legal-content/MT/TXT/?uri=celex:32009L0136" TargetMode="External"/><Relationship Id="rId6" Type="http://schemas.openxmlformats.org/officeDocument/2006/relationships/hyperlink" Target="http://ec.europa.eu/justice/data-protection/article-29/documentation/opinion-recommendation/files/2014/wp213_en.pdf" TargetMode="External"/><Relationship Id="rId11" Type="http://schemas.openxmlformats.org/officeDocument/2006/relationships/hyperlink" Target="http://ec.europa.eu/newsroom/document.cfm?doc_id=44137" TargetMode="External"/><Relationship Id="rId5" Type="http://schemas.openxmlformats.org/officeDocument/2006/relationships/hyperlink" Target="http://eur-lex.europa.eu/legal-content/MT/TXT/?uri=CELEX:12012P/TXT" TargetMode="External"/><Relationship Id="rId15" Type="http://schemas.openxmlformats.org/officeDocument/2006/relationships/hyperlink" Target="http://ec.europa.eu/justice/data-protection/article-29/documentation/opinion-recommendation/files/2014/wp213_en.pdf" TargetMode="External"/><Relationship Id="rId23" Type="http://schemas.openxmlformats.org/officeDocument/2006/relationships/hyperlink" Target="https://ec.europa.eu/digital-single-market/en/news/proposal-regulation-privacy-and-electronic-communications" TargetMode="External"/><Relationship Id="rId10" Type="http://schemas.openxmlformats.org/officeDocument/2006/relationships/hyperlink" Target="http://ec.europa.eu/newsroom/just/document.cfm?doc_id=47889" TargetMode="External"/><Relationship Id="rId19" Type="http://schemas.openxmlformats.org/officeDocument/2006/relationships/hyperlink" Target="https://www.enisa.europa.eu/publications/dbn-severity" TargetMode="External"/><Relationship Id="rId4" Type="http://schemas.openxmlformats.org/officeDocument/2006/relationships/hyperlink" Target="http://eur-lex.europa.eu/legal-content/MT/TXT/?uri=CELEX:31995L0046" TargetMode="External"/><Relationship Id="rId9" Type="http://schemas.openxmlformats.org/officeDocument/2006/relationships/hyperlink" Target="https://www.iso.org/obp/ui/" TargetMode="External"/><Relationship Id="rId14" Type="http://schemas.openxmlformats.org/officeDocument/2006/relationships/hyperlink" Target="http://ec.europa.eu/justice/data-protection/bodies/authorities/index_mt.htm" TargetMode="External"/><Relationship Id="rId22" Type="http://schemas.openxmlformats.org/officeDocument/2006/relationships/hyperlink" Target="http://eur-lex.europa.eu/legal-content/MT/TXT/?uri=uriserv:OJ.L_.2016.194.01.0001.01.MLT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178828-F4C1-478B-B80D-296B8E2EA1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34</Pages>
  <Words>11630</Words>
  <Characters>79672</Characters>
  <Application>Microsoft Office Word</Application>
  <DocSecurity>4</DocSecurity>
  <Lines>1373</Lines>
  <Paragraphs>348</Paragraphs>
  <ScaleCrop>false</ScaleCrop>
  <HeadingPairs>
    <vt:vector size="10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  <vt:variant>
        <vt:lpstr>Τίτλος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5" baseType="lpstr">
      <vt:lpstr>wp250rev_en</vt:lpstr>
      <vt:lpstr>xxxx/16/EN</vt:lpstr>
      <vt:lpstr>xxxx/16/EN</vt:lpstr>
      <vt:lpstr>xxxx/16/EN</vt:lpstr>
      <vt:lpstr/>
    </vt:vector>
  </TitlesOfParts>
  <Company>CNIL</Company>
  <LinksUpToDate>false</LinksUpToDate>
  <CharactersWithSpaces>90954</CharactersWithSpaces>
  <SharedDoc>false</SharedDoc>
  <HLinks>
    <vt:vector size="30" baseType="variant">
      <vt:variant>
        <vt:i4>6750274</vt:i4>
      </vt:variant>
      <vt:variant>
        <vt:i4>15</vt:i4>
      </vt:variant>
      <vt:variant>
        <vt:i4>0</vt:i4>
      </vt:variant>
      <vt:variant>
        <vt:i4>5</vt:i4>
      </vt:variant>
      <vt:variant>
        <vt:lpwstr>http://ec.europa.eu/justice/data-protection/article-29/documentation/opinion-recommendation/files/2011/wp187_en.pdf</vt:lpwstr>
      </vt:variant>
      <vt:variant>
        <vt:lpwstr/>
      </vt:variant>
      <vt:variant>
        <vt:i4>524333</vt:i4>
      </vt:variant>
      <vt:variant>
        <vt:i4>9</vt:i4>
      </vt:variant>
      <vt:variant>
        <vt:i4>0</vt:i4>
      </vt:variant>
      <vt:variant>
        <vt:i4>5</vt:i4>
      </vt:variant>
      <vt:variant>
        <vt:lpwstr>http://ec.europa.eu/justice/policies/privacy/docs/wpdocs/2010/wp169_en.pdf</vt:lpwstr>
      </vt:variant>
      <vt:variant>
        <vt:lpwstr/>
      </vt:variant>
      <vt:variant>
        <vt:i4>6291531</vt:i4>
      </vt:variant>
      <vt:variant>
        <vt:i4>6</vt:i4>
      </vt:variant>
      <vt:variant>
        <vt:i4>0</vt:i4>
      </vt:variant>
      <vt:variant>
        <vt:i4>5</vt:i4>
      </vt:variant>
      <vt:variant>
        <vt:lpwstr>http://ec.europa.eu/justice/data-protection/article-29/documentation/opinion-recommendation/files/2014/wp216_en.pdf</vt:lpwstr>
      </vt:variant>
      <vt:variant>
        <vt:lpwstr/>
      </vt:variant>
      <vt:variant>
        <vt:i4>786469</vt:i4>
      </vt:variant>
      <vt:variant>
        <vt:i4>3</vt:i4>
      </vt:variant>
      <vt:variant>
        <vt:i4>0</vt:i4>
      </vt:variant>
      <vt:variant>
        <vt:i4>5</vt:i4>
      </vt:variant>
      <vt:variant>
        <vt:lpwstr>http://ec.europa.eu/justice/policies/privacy/docs/wpdocs/2007/wp136_en.pdf</vt:lpwstr>
      </vt:variant>
      <vt:variant>
        <vt:lpwstr/>
      </vt:variant>
      <vt:variant>
        <vt:i4>7143459</vt:i4>
      </vt:variant>
      <vt:variant>
        <vt:i4>0</vt:i4>
      </vt:variant>
      <vt:variant>
        <vt:i4>0</vt:i4>
      </vt:variant>
      <vt:variant>
        <vt:i4>5</vt:i4>
      </vt:variant>
      <vt:variant>
        <vt:lpwstr>http://en.wikipedia.org/wiki/Sensor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wp250rev_en</dc:title>
  <dc:creator>Article 29 Working Party - WP29</dc:creator>
  <cp:lastModifiedBy>HOLSTEIN Anita (JUST)</cp:lastModifiedBy>
  <cp:revision>2</cp:revision>
  <cp:lastPrinted>2018-02-13T20:04:00Z</cp:lastPrinted>
  <dcterms:created xsi:type="dcterms:W3CDTF">2018-08-13T09:19:00Z</dcterms:created>
  <dcterms:modified xsi:type="dcterms:W3CDTF">2018-08-13T09:19:00Z</dcterms:modified>
</cp:coreProperties>
</file>