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4651F2" w:rsidP="00617EC0">
      <w:pPr>
        <w:jc w:val="both"/>
      </w:pPr>
      <w:bookmarkStart w:id="0" w:name="_GoBack"/>
      <w:bookmarkEnd w:id="0"/>
    </w:p>
    <w:p w:rsidR="004651F2" w:rsidRPr="00C110D2" w:rsidRDefault="009878D2" w:rsidP="00617EC0">
      <w:pPr>
        <w:suppressLineNumbers/>
        <w:ind w:left="6237"/>
        <w:jc w:val="both"/>
        <w:rPr>
          <w:b/>
        </w:rPr>
      </w:pPr>
      <w:r>
        <w:rPr>
          <w:b/>
        </w:rPr>
        <w:t>17/HU</w:t>
      </w:r>
    </w:p>
    <w:p w:rsidR="00FB7EFC" w:rsidRPr="00A42CEC" w:rsidRDefault="004651F2" w:rsidP="006473E1">
      <w:pPr>
        <w:suppressLineNumbers/>
        <w:ind w:left="6237"/>
        <w:jc w:val="both"/>
      </w:pPr>
      <w:r>
        <w:rPr>
          <w:b/>
        </w:rPr>
        <w:t>WP251rev.01</w:t>
      </w:r>
    </w:p>
    <w:p w:rsidR="00FB7EFC" w:rsidRPr="00A42CEC" w:rsidRDefault="00FB7EFC" w:rsidP="00617EC0">
      <w:pPr>
        <w:jc w:val="both"/>
        <w:outlineLvl w:val="0"/>
      </w:pPr>
    </w:p>
    <w:p w:rsidR="00FB7EFC" w:rsidRDefault="00FB7EFC" w:rsidP="00617EC0">
      <w:pPr>
        <w:jc w:val="both"/>
        <w:rPr>
          <w:b/>
        </w:rPr>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Iránymutatás az automatizált döntéshozatallal és a profilalkotással kapcsolatban</w:t>
      </w:r>
      <w:r>
        <w:rPr>
          <w:b/>
        </w:rPr>
        <w:br/>
        <w:t>a 2016/679 rendelet alkalmazásához</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 xml:space="preserve"> Elfogadás időpontja: 2017. október 3.</w:t>
      </w:r>
    </w:p>
    <w:p w:rsidR="00D26F4A" w:rsidRDefault="00D26F4A" w:rsidP="00867939">
      <w:pPr>
        <w:jc w:val="center"/>
        <w:rPr>
          <w:b/>
          <w:bCs/>
        </w:rPr>
      </w:pPr>
      <w:r>
        <w:rPr>
          <w:b/>
        </w:rPr>
        <w:t>A legutóbbi felülvizsgálat és elfogadás időpontja: 2018. február 6.</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t>AZ EGYÉNEKNEK A SZEMÉLYES ADATOK FELDOLGOZÁSA TEKINTET</w:t>
      </w:r>
      <w:r w:rsidR="002F7E98">
        <w:rPr>
          <w:b/>
        </w:rPr>
        <w:t>ÉBEN VALÓ VÉDELMÉVEL FOGLALKOZÓ</w:t>
      </w:r>
    </w:p>
    <w:p w:rsidR="00A024CD" w:rsidRDefault="00A024CD" w:rsidP="00617EC0">
      <w:pPr>
        <w:spacing w:after="0" w:line="240" w:lineRule="auto"/>
        <w:jc w:val="both"/>
        <w:rPr>
          <w:b/>
          <w:bCs/>
        </w:rPr>
      </w:pPr>
    </w:p>
    <w:p w:rsidR="00FF54DA" w:rsidRPr="00A42CEC" w:rsidRDefault="002F7E98" w:rsidP="00617EC0">
      <w:pPr>
        <w:spacing w:after="0" w:line="240" w:lineRule="auto"/>
        <w:jc w:val="both"/>
        <w:rPr>
          <w:b/>
          <w:bCs/>
        </w:rPr>
      </w:pPr>
      <w:r>
        <w:rPr>
          <w:b/>
        </w:rPr>
        <w:t>MUNKACSOPORT</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amelyet az 1995. október 24-i 95/46/EK európai parlamenti és tanácsi irányelvvel hoztak létre,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tekintettel az említett irányelv 29. és 30. cikkére,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teki</w:t>
      </w:r>
      <w:r w:rsidR="002F7E98">
        <w:rPr>
          <w:rFonts w:ascii="Times New Roman" w:hAnsi="Times New Roman"/>
        </w:rPr>
        <w:t>ntettel eljárási szabályzatára,</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b/>
        </w:rPr>
        <w:t>ELFOGADTA EZT AZ IRÁNYMUTATÁST:</w:t>
      </w:r>
    </w:p>
    <w:p w:rsidR="00FF54DA" w:rsidRDefault="00FF54DA" w:rsidP="00617EC0">
      <w:pPr>
        <w:spacing w:after="0" w:line="240" w:lineRule="auto"/>
        <w:jc w:val="both"/>
        <w:rPr>
          <w:b/>
          <w:bCs/>
        </w:rPr>
      </w:pPr>
      <w:r>
        <w:br w:type="page"/>
      </w:r>
    </w:p>
    <w:p w:rsidR="002A30DB" w:rsidRDefault="002A30DB" w:rsidP="00617EC0">
      <w:pPr>
        <w:spacing w:after="0" w:line="240" w:lineRule="auto"/>
        <w:jc w:val="both"/>
        <w:rPr>
          <w:rFonts w:asciiTheme="minorHAnsi" w:hAnsiTheme="minorHAnsi" w:cstheme="minorHAnsi"/>
          <w:b/>
          <w:bCs/>
          <w:sz w:val="28"/>
        </w:rPr>
      </w:pPr>
    </w:p>
    <w:p w:rsidR="002F7E98" w:rsidRDefault="00AF19DA" w:rsidP="00E006E1">
      <w:pPr>
        <w:pStyle w:val="TOC1"/>
        <w:rPr>
          <w:noProof/>
        </w:rPr>
      </w:pPr>
      <w:r>
        <w:rPr>
          <w:rFonts w:cstheme="minorHAnsi"/>
          <w:b w:val="0"/>
          <w:sz w:val="28"/>
        </w:rPr>
        <w:t>Tartalomjegyzék</w:t>
      </w:r>
      <w:r w:rsidR="002F7E98">
        <w:fldChar w:fldCharType="begin"/>
      </w:r>
      <w:r w:rsidR="002F7E98">
        <w:instrText xml:space="preserve"> TOC \o "1-3" \h \z \u </w:instrText>
      </w:r>
      <w:r w:rsidR="002F7E98">
        <w:fldChar w:fldCharType="separate"/>
      </w:r>
    </w:p>
    <w:p w:rsidR="002F7E98" w:rsidRDefault="00E73752">
      <w:pPr>
        <w:pStyle w:val="TOC1"/>
        <w:rPr>
          <w:rFonts w:eastAsiaTheme="minorEastAsia" w:cstheme="minorBidi"/>
          <w:b w:val="0"/>
          <w:bCs w:val="0"/>
          <w:caps w:val="0"/>
          <w:noProof/>
          <w:sz w:val="22"/>
          <w:szCs w:val="22"/>
          <w:lang w:val="en-GB" w:eastAsia="en-GB" w:bidi="ar-SA"/>
        </w:rPr>
      </w:pPr>
      <w:hyperlink w:anchor="_Toc521658137" w:history="1">
        <w:r w:rsidR="002F7E98" w:rsidRPr="002A5C41">
          <w:rPr>
            <w:rStyle w:val="Hyperlink"/>
            <w:noProof/>
          </w:rPr>
          <w:t>I.</w:t>
        </w:r>
        <w:r w:rsidR="002F7E98">
          <w:rPr>
            <w:rFonts w:eastAsiaTheme="minorEastAsia" w:cstheme="minorBidi"/>
            <w:b w:val="0"/>
            <w:bCs w:val="0"/>
            <w:caps w:val="0"/>
            <w:noProof/>
            <w:sz w:val="22"/>
            <w:szCs w:val="22"/>
            <w:lang w:val="en-GB" w:eastAsia="en-GB" w:bidi="ar-SA"/>
          </w:rPr>
          <w:tab/>
        </w:r>
        <w:r w:rsidR="002F7E98" w:rsidRPr="002A5C41">
          <w:rPr>
            <w:rStyle w:val="Hyperlink"/>
            <w:noProof/>
          </w:rPr>
          <w:t>Bevezetés</w:t>
        </w:r>
        <w:r w:rsidR="002F7E98">
          <w:rPr>
            <w:noProof/>
            <w:webHidden/>
          </w:rPr>
          <w:tab/>
        </w:r>
        <w:r w:rsidR="002F7E98">
          <w:rPr>
            <w:noProof/>
            <w:webHidden/>
          </w:rPr>
          <w:fldChar w:fldCharType="begin"/>
        </w:r>
        <w:r w:rsidR="002F7E98">
          <w:rPr>
            <w:noProof/>
            <w:webHidden/>
          </w:rPr>
          <w:instrText xml:space="preserve"> PAGEREF _Toc521658137 \h </w:instrText>
        </w:r>
        <w:r w:rsidR="002F7E98">
          <w:rPr>
            <w:noProof/>
            <w:webHidden/>
          </w:rPr>
        </w:r>
        <w:r w:rsidR="002F7E98">
          <w:rPr>
            <w:noProof/>
            <w:webHidden/>
          </w:rPr>
          <w:fldChar w:fldCharType="separate"/>
        </w:r>
        <w:r w:rsidR="001718A1">
          <w:rPr>
            <w:noProof/>
            <w:webHidden/>
          </w:rPr>
          <w:t>5</w:t>
        </w:r>
        <w:r w:rsidR="002F7E98">
          <w:rPr>
            <w:noProof/>
            <w:webHidden/>
          </w:rPr>
          <w:fldChar w:fldCharType="end"/>
        </w:r>
      </w:hyperlink>
    </w:p>
    <w:p w:rsidR="002F7E98" w:rsidRDefault="00E73752">
      <w:pPr>
        <w:pStyle w:val="TOC1"/>
        <w:rPr>
          <w:rFonts w:eastAsiaTheme="minorEastAsia" w:cstheme="minorBidi"/>
          <w:b w:val="0"/>
          <w:bCs w:val="0"/>
          <w:caps w:val="0"/>
          <w:noProof/>
          <w:sz w:val="22"/>
          <w:szCs w:val="22"/>
          <w:lang w:val="en-GB" w:eastAsia="en-GB" w:bidi="ar-SA"/>
        </w:rPr>
      </w:pPr>
      <w:hyperlink w:anchor="_Toc521658138" w:history="1">
        <w:r w:rsidR="002F7E98" w:rsidRPr="002A5C41">
          <w:rPr>
            <w:rStyle w:val="Hyperlink"/>
            <w:noProof/>
          </w:rPr>
          <w:t>II.</w:t>
        </w:r>
        <w:r w:rsidR="002F7E98">
          <w:rPr>
            <w:rFonts w:eastAsiaTheme="minorEastAsia" w:cstheme="minorBidi"/>
            <w:b w:val="0"/>
            <w:bCs w:val="0"/>
            <w:caps w:val="0"/>
            <w:noProof/>
            <w:sz w:val="22"/>
            <w:szCs w:val="22"/>
            <w:lang w:val="en-GB" w:eastAsia="en-GB" w:bidi="ar-SA"/>
          </w:rPr>
          <w:tab/>
        </w:r>
        <w:r w:rsidR="002F7E98" w:rsidRPr="002A5C41">
          <w:rPr>
            <w:rStyle w:val="Hyperlink"/>
            <w:noProof/>
          </w:rPr>
          <w:t>Fogalommeghatározások</w:t>
        </w:r>
        <w:r w:rsidR="002F7E98">
          <w:rPr>
            <w:noProof/>
            <w:webHidden/>
          </w:rPr>
          <w:tab/>
        </w:r>
        <w:r w:rsidR="002F7E98">
          <w:rPr>
            <w:noProof/>
            <w:webHidden/>
          </w:rPr>
          <w:fldChar w:fldCharType="begin"/>
        </w:r>
        <w:r w:rsidR="002F7E98">
          <w:rPr>
            <w:noProof/>
            <w:webHidden/>
          </w:rPr>
          <w:instrText xml:space="preserve"> PAGEREF _Toc521658138 \h </w:instrText>
        </w:r>
        <w:r w:rsidR="002F7E98">
          <w:rPr>
            <w:noProof/>
            <w:webHidden/>
          </w:rPr>
        </w:r>
        <w:r w:rsidR="002F7E98">
          <w:rPr>
            <w:noProof/>
            <w:webHidden/>
          </w:rPr>
          <w:fldChar w:fldCharType="separate"/>
        </w:r>
        <w:r w:rsidR="001718A1">
          <w:rPr>
            <w:noProof/>
            <w:webHidden/>
          </w:rPr>
          <w:t>6</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39" w:history="1">
        <w:r w:rsidR="002F7E98" w:rsidRPr="002A5C41">
          <w:rPr>
            <w:rStyle w:val="Hyperlink"/>
            <w:noProof/>
          </w:rPr>
          <w:t>A.</w:t>
        </w:r>
        <w:r w:rsidR="002F7E98">
          <w:rPr>
            <w:rFonts w:eastAsiaTheme="minorEastAsia" w:cstheme="minorBidi"/>
            <w:smallCaps w:val="0"/>
            <w:noProof/>
            <w:sz w:val="22"/>
            <w:szCs w:val="22"/>
            <w:lang w:val="en-GB" w:eastAsia="en-GB" w:bidi="ar-SA"/>
          </w:rPr>
          <w:tab/>
        </w:r>
        <w:r w:rsidR="002F7E98" w:rsidRPr="002A5C41">
          <w:rPr>
            <w:rStyle w:val="Hyperlink"/>
            <w:noProof/>
          </w:rPr>
          <w:t>Profilalkotás</w:t>
        </w:r>
        <w:r w:rsidR="002F7E98">
          <w:rPr>
            <w:noProof/>
            <w:webHidden/>
          </w:rPr>
          <w:tab/>
        </w:r>
        <w:r w:rsidR="002F7E98">
          <w:rPr>
            <w:noProof/>
            <w:webHidden/>
          </w:rPr>
          <w:fldChar w:fldCharType="begin"/>
        </w:r>
        <w:r w:rsidR="002F7E98">
          <w:rPr>
            <w:noProof/>
            <w:webHidden/>
          </w:rPr>
          <w:instrText xml:space="preserve"> PAGEREF _Toc521658139 \h </w:instrText>
        </w:r>
        <w:r w:rsidR="002F7E98">
          <w:rPr>
            <w:noProof/>
            <w:webHidden/>
          </w:rPr>
        </w:r>
        <w:r w:rsidR="002F7E98">
          <w:rPr>
            <w:noProof/>
            <w:webHidden/>
          </w:rPr>
          <w:fldChar w:fldCharType="separate"/>
        </w:r>
        <w:r w:rsidR="001718A1">
          <w:rPr>
            <w:noProof/>
            <w:webHidden/>
          </w:rPr>
          <w:t>6</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40" w:history="1">
        <w:r w:rsidR="002F7E98" w:rsidRPr="002A5C41">
          <w:rPr>
            <w:rStyle w:val="Hyperlink"/>
            <w:noProof/>
          </w:rPr>
          <w:t>B.</w:t>
        </w:r>
        <w:r w:rsidR="002F7E98">
          <w:rPr>
            <w:rFonts w:eastAsiaTheme="minorEastAsia" w:cstheme="minorBidi"/>
            <w:smallCaps w:val="0"/>
            <w:noProof/>
            <w:sz w:val="22"/>
            <w:szCs w:val="22"/>
            <w:lang w:val="en-GB" w:eastAsia="en-GB" w:bidi="ar-SA"/>
          </w:rPr>
          <w:tab/>
        </w:r>
        <w:r w:rsidR="002F7E98" w:rsidRPr="002A5C41">
          <w:rPr>
            <w:rStyle w:val="Hyperlink"/>
            <w:noProof/>
          </w:rPr>
          <w:t>Automatizált döntéshozatal</w:t>
        </w:r>
        <w:r w:rsidR="002F7E98">
          <w:rPr>
            <w:noProof/>
            <w:webHidden/>
          </w:rPr>
          <w:tab/>
        </w:r>
        <w:r w:rsidR="002F7E98">
          <w:rPr>
            <w:noProof/>
            <w:webHidden/>
          </w:rPr>
          <w:fldChar w:fldCharType="begin"/>
        </w:r>
        <w:r w:rsidR="002F7E98">
          <w:rPr>
            <w:noProof/>
            <w:webHidden/>
          </w:rPr>
          <w:instrText xml:space="preserve"> PAGEREF _Toc521658140 \h </w:instrText>
        </w:r>
        <w:r w:rsidR="002F7E98">
          <w:rPr>
            <w:noProof/>
            <w:webHidden/>
          </w:rPr>
        </w:r>
        <w:r w:rsidR="002F7E98">
          <w:rPr>
            <w:noProof/>
            <w:webHidden/>
          </w:rPr>
          <w:fldChar w:fldCharType="separate"/>
        </w:r>
        <w:r w:rsidR="001718A1">
          <w:rPr>
            <w:noProof/>
            <w:webHidden/>
          </w:rPr>
          <w:t>8</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41" w:history="1">
        <w:r w:rsidR="002F7E98" w:rsidRPr="002A5C41">
          <w:rPr>
            <w:rStyle w:val="Hyperlink"/>
            <w:noProof/>
          </w:rPr>
          <w:t>C.</w:t>
        </w:r>
        <w:r w:rsidR="002F7E98">
          <w:rPr>
            <w:rFonts w:eastAsiaTheme="minorEastAsia" w:cstheme="minorBidi"/>
            <w:smallCaps w:val="0"/>
            <w:noProof/>
            <w:sz w:val="22"/>
            <w:szCs w:val="22"/>
            <w:lang w:val="en-GB" w:eastAsia="en-GB" w:bidi="ar-SA"/>
          </w:rPr>
          <w:tab/>
        </w:r>
        <w:r w:rsidR="002F7E98" w:rsidRPr="002A5C41">
          <w:rPr>
            <w:rStyle w:val="Hyperlink"/>
            <w:noProof/>
          </w:rPr>
          <w:t>Hogyan kezeli a GDPR a fogalmakat?</w:t>
        </w:r>
        <w:r w:rsidR="002F7E98">
          <w:rPr>
            <w:noProof/>
            <w:webHidden/>
          </w:rPr>
          <w:tab/>
        </w:r>
        <w:r w:rsidR="002F7E98">
          <w:rPr>
            <w:noProof/>
            <w:webHidden/>
          </w:rPr>
          <w:fldChar w:fldCharType="begin"/>
        </w:r>
        <w:r w:rsidR="002F7E98">
          <w:rPr>
            <w:noProof/>
            <w:webHidden/>
          </w:rPr>
          <w:instrText xml:space="preserve"> PAGEREF _Toc521658141 \h </w:instrText>
        </w:r>
        <w:r w:rsidR="002F7E98">
          <w:rPr>
            <w:noProof/>
            <w:webHidden/>
          </w:rPr>
        </w:r>
        <w:r w:rsidR="002F7E98">
          <w:rPr>
            <w:noProof/>
            <w:webHidden/>
          </w:rPr>
          <w:fldChar w:fldCharType="separate"/>
        </w:r>
        <w:r w:rsidR="001718A1">
          <w:rPr>
            <w:noProof/>
            <w:webHidden/>
          </w:rPr>
          <w:t>9</w:t>
        </w:r>
        <w:r w:rsidR="002F7E98">
          <w:rPr>
            <w:noProof/>
            <w:webHidden/>
          </w:rPr>
          <w:fldChar w:fldCharType="end"/>
        </w:r>
      </w:hyperlink>
    </w:p>
    <w:p w:rsidR="002F7E98" w:rsidRDefault="00E73752">
      <w:pPr>
        <w:pStyle w:val="TOC1"/>
        <w:rPr>
          <w:rFonts w:eastAsiaTheme="minorEastAsia" w:cstheme="minorBidi"/>
          <w:b w:val="0"/>
          <w:bCs w:val="0"/>
          <w:caps w:val="0"/>
          <w:noProof/>
          <w:sz w:val="22"/>
          <w:szCs w:val="22"/>
          <w:lang w:val="en-GB" w:eastAsia="en-GB" w:bidi="ar-SA"/>
        </w:rPr>
      </w:pPr>
      <w:hyperlink w:anchor="_Toc521658142" w:history="1">
        <w:r w:rsidR="002F7E98" w:rsidRPr="002A5C41">
          <w:rPr>
            <w:rStyle w:val="Hyperlink"/>
            <w:noProof/>
          </w:rPr>
          <w:t>III.</w:t>
        </w:r>
        <w:r w:rsidR="002F7E98">
          <w:rPr>
            <w:rFonts w:eastAsiaTheme="minorEastAsia" w:cstheme="minorBidi"/>
            <w:b w:val="0"/>
            <w:bCs w:val="0"/>
            <w:caps w:val="0"/>
            <w:noProof/>
            <w:sz w:val="22"/>
            <w:szCs w:val="22"/>
            <w:lang w:val="en-GB" w:eastAsia="en-GB" w:bidi="ar-SA"/>
          </w:rPr>
          <w:tab/>
        </w:r>
        <w:r w:rsidR="002F7E98" w:rsidRPr="002A5C41">
          <w:rPr>
            <w:rStyle w:val="Hyperlink"/>
            <w:noProof/>
          </w:rPr>
          <w:t>A profilalkotásra és az automatizált döntéshozatalra vonatkozó általános rendelkezések</w:t>
        </w:r>
        <w:r w:rsidR="002F7E98">
          <w:rPr>
            <w:noProof/>
            <w:webHidden/>
          </w:rPr>
          <w:tab/>
        </w:r>
        <w:r w:rsidR="002F7E98">
          <w:rPr>
            <w:noProof/>
            <w:webHidden/>
          </w:rPr>
          <w:fldChar w:fldCharType="begin"/>
        </w:r>
        <w:r w:rsidR="002F7E98">
          <w:rPr>
            <w:noProof/>
            <w:webHidden/>
          </w:rPr>
          <w:instrText xml:space="preserve"> PAGEREF _Toc521658142 \h </w:instrText>
        </w:r>
        <w:r w:rsidR="002F7E98">
          <w:rPr>
            <w:noProof/>
            <w:webHidden/>
          </w:rPr>
        </w:r>
        <w:r w:rsidR="002F7E98">
          <w:rPr>
            <w:noProof/>
            <w:webHidden/>
          </w:rPr>
          <w:fldChar w:fldCharType="separate"/>
        </w:r>
        <w:r w:rsidR="001718A1">
          <w:rPr>
            <w:noProof/>
            <w:webHidden/>
          </w:rPr>
          <w:t>9</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43" w:history="1">
        <w:r w:rsidR="002F7E98" w:rsidRPr="002A5C41">
          <w:rPr>
            <w:rStyle w:val="Hyperlink"/>
            <w:noProof/>
          </w:rPr>
          <w:t>A.</w:t>
        </w:r>
        <w:r w:rsidR="002F7E98">
          <w:rPr>
            <w:rFonts w:eastAsiaTheme="minorEastAsia" w:cstheme="minorBidi"/>
            <w:smallCaps w:val="0"/>
            <w:noProof/>
            <w:sz w:val="22"/>
            <w:szCs w:val="22"/>
            <w:lang w:val="en-GB" w:eastAsia="en-GB" w:bidi="ar-SA"/>
          </w:rPr>
          <w:tab/>
        </w:r>
        <w:r w:rsidR="002F7E98" w:rsidRPr="002A5C41">
          <w:rPr>
            <w:rStyle w:val="Hyperlink"/>
            <w:noProof/>
          </w:rPr>
          <w:t>Adatvédelmi elvek</w:t>
        </w:r>
        <w:r w:rsidR="002F7E98">
          <w:rPr>
            <w:noProof/>
            <w:webHidden/>
          </w:rPr>
          <w:tab/>
        </w:r>
        <w:r w:rsidR="002F7E98">
          <w:rPr>
            <w:noProof/>
            <w:webHidden/>
          </w:rPr>
          <w:fldChar w:fldCharType="begin"/>
        </w:r>
        <w:r w:rsidR="002F7E98">
          <w:rPr>
            <w:noProof/>
            <w:webHidden/>
          </w:rPr>
          <w:instrText xml:space="preserve"> PAGEREF _Toc521658143 \h </w:instrText>
        </w:r>
        <w:r w:rsidR="002F7E98">
          <w:rPr>
            <w:noProof/>
            <w:webHidden/>
          </w:rPr>
        </w:r>
        <w:r w:rsidR="002F7E98">
          <w:rPr>
            <w:noProof/>
            <w:webHidden/>
          </w:rPr>
          <w:fldChar w:fldCharType="separate"/>
        </w:r>
        <w:r w:rsidR="001718A1">
          <w:rPr>
            <w:noProof/>
            <w:webHidden/>
          </w:rPr>
          <w:t>9</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44" w:history="1">
        <w:r w:rsidR="002F7E98" w:rsidRPr="002A5C41">
          <w:rPr>
            <w:rStyle w:val="Hyperlink"/>
            <w:noProof/>
          </w:rPr>
          <w:t>1.</w:t>
        </w:r>
        <w:r w:rsidR="002F7E98">
          <w:rPr>
            <w:rFonts w:eastAsiaTheme="minorEastAsia" w:cstheme="minorBidi"/>
            <w:i w:val="0"/>
            <w:iCs w:val="0"/>
            <w:noProof/>
            <w:sz w:val="22"/>
            <w:szCs w:val="22"/>
            <w:lang w:val="en-GB" w:eastAsia="en-GB" w:bidi="ar-SA"/>
          </w:rPr>
          <w:tab/>
        </w:r>
        <w:r w:rsidR="002F7E98" w:rsidRPr="002A5C41">
          <w:rPr>
            <w:rStyle w:val="Hyperlink"/>
            <w:noProof/>
          </w:rPr>
          <w:t>Az 5. cikk (1) bekezdésének a) pontja: Jogszerűség, tisztességes eljárás és átláthatóság</w:t>
        </w:r>
        <w:r w:rsidR="002F7E98">
          <w:rPr>
            <w:noProof/>
            <w:webHidden/>
          </w:rPr>
          <w:tab/>
        </w:r>
        <w:r w:rsidR="002F7E98">
          <w:rPr>
            <w:noProof/>
            <w:webHidden/>
          </w:rPr>
          <w:fldChar w:fldCharType="begin"/>
        </w:r>
        <w:r w:rsidR="002F7E98">
          <w:rPr>
            <w:noProof/>
            <w:webHidden/>
          </w:rPr>
          <w:instrText xml:space="preserve"> PAGEREF _Toc521658144 \h </w:instrText>
        </w:r>
        <w:r w:rsidR="002F7E98">
          <w:rPr>
            <w:noProof/>
            <w:webHidden/>
          </w:rPr>
        </w:r>
        <w:r w:rsidR="002F7E98">
          <w:rPr>
            <w:noProof/>
            <w:webHidden/>
          </w:rPr>
          <w:fldChar w:fldCharType="separate"/>
        </w:r>
        <w:r w:rsidR="001718A1">
          <w:rPr>
            <w:noProof/>
            <w:webHidden/>
          </w:rPr>
          <w:t>10</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45" w:history="1">
        <w:r w:rsidR="002F7E98" w:rsidRPr="002A5C41">
          <w:rPr>
            <w:rStyle w:val="Hyperlink"/>
            <w:noProof/>
          </w:rPr>
          <w:t>2.</w:t>
        </w:r>
        <w:r w:rsidR="002F7E98">
          <w:rPr>
            <w:rFonts w:eastAsiaTheme="minorEastAsia" w:cstheme="minorBidi"/>
            <w:i w:val="0"/>
            <w:iCs w:val="0"/>
            <w:noProof/>
            <w:sz w:val="22"/>
            <w:szCs w:val="22"/>
            <w:lang w:val="en-GB" w:eastAsia="en-GB" w:bidi="ar-SA"/>
          </w:rPr>
          <w:tab/>
        </w:r>
        <w:r w:rsidR="002F7E98" w:rsidRPr="002A5C41">
          <w:rPr>
            <w:rStyle w:val="Hyperlink"/>
            <w:noProof/>
          </w:rPr>
          <w:t>Az 5. cikk (1) bekezdésének b) pontja: További adatkezelés és célhoz kötöttség</w:t>
        </w:r>
        <w:r w:rsidR="002F7E98">
          <w:rPr>
            <w:noProof/>
            <w:webHidden/>
          </w:rPr>
          <w:tab/>
        </w:r>
        <w:r w:rsidR="002F7E98">
          <w:rPr>
            <w:noProof/>
            <w:webHidden/>
          </w:rPr>
          <w:fldChar w:fldCharType="begin"/>
        </w:r>
        <w:r w:rsidR="002F7E98">
          <w:rPr>
            <w:noProof/>
            <w:webHidden/>
          </w:rPr>
          <w:instrText xml:space="preserve"> PAGEREF _Toc521658145 \h </w:instrText>
        </w:r>
        <w:r w:rsidR="002F7E98">
          <w:rPr>
            <w:noProof/>
            <w:webHidden/>
          </w:rPr>
        </w:r>
        <w:r w:rsidR="002F7E98">
          <w:rPr>
            <w:noProof/>
            <w:webHidden/>
          </w:rPr>
          <w:fldChar w:fldCharType="separate"/>
        </w:r>
        <w:r w:rsidR="001718A1">
          <w:rPr>
            <w:noProof/>
            <w:webHidden/>
          </w:rPr>
          <w:t>11</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46" w:history="1">
        <w:r w:rsidR="002F7E98" w:rsidRPr="002A5C41">
          <w:rPr>
            <w:rStyle w:val="Hyperlink"/>
            <w:noProof/>
          </w:rPr>
          <w:t>3.</w:t>
        </w:r>
        <w:r w:rsidR="002F7E98">
          <w:rPr>
            <w:rFonts w:eastAsiaTheme="minorEastAsia" w:cstheme="minorBidi"/>
            <w:i w:val="0"/>
            <w:iCs w:val="0"/>
            <w:noProof/>
            <w:sz w:val="22"/>
            <w:szCs w:val="22"/>
            <w:lang w:val="en-GB" w:eastAsia="en-GB" w:bidi="ar-SA"/>
          </w:rPr>
          <w:tab/>
        </w:r>
        <w:r w:rsidR="002F7E98" w:rsidRPr="002A5C41">
          <w:rPr>
            <w:rStyle w:val="Hyperlink"/>
            <w:noProof/>
          </w:rPr>
          <w:t>Az 5. cikk (1) bekezdésének c) pontja: Adattakarékosság</w:t>
        </w:r>
        <w:r w:rsidR="002F7E98">
          <w:rPr>
            <w:noProof/>
            <w:webHidden/>
          </w:rPr>
          <w:tab/>
        </w:r>
        <w:r w:rsidR="002F7E98">
          <w:rPr>
            <w:noProof/>
            <w:webHidden/>
          </w:rPr>
          <w:fldChar w:fldCharType="begin"/>
        </w:r>
        <w:r w:rsidR="002F7E98">
          <w:rPr>
            <w:noProof/>
            <w:webHidden/>
          </w:rPr>
          <w:instrText xml:space="preserve"> PAGEREF _Toc521658146 \h </w:instrText>
        </w:r>
        <w:r w:rsidR="002F7E98">
          <w:rPr>
            <w:noProof/>
            <w:webHidden/>
          </w:rPr>
        </w:r>
        <w:r w:rsidR="002F7E98">
          <w:rPr>
            <w:noProof/>
            <w:webHidden/>
          </w:rPr>
          <w:fldChar w:fldCharType="separate"/>
        </w:r>
        <w:r w:rsidR="001718A1">
          <w:rPr>
            <w:noProof/>
            <w:webHidden/>
          </w:rPr>
          <w:t>12</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47" w:history="1">
        <w:r w:rsidR="002F7E98" w:rsidRPr="002A5C41">
          <w:rPr>
            <w:rStyle w:val="Hyperlink"/>
            <w:noProof/>
          </w:rPr>
          <w:t>4.</w:t>
        </w:r>
        <w:r w:rsidR="002F7E98">
          <w:rPr>
            <w:rFonts w:eastAsiaTheme="minorEastAsia" w:cstheme="minorBidi"/>
            <w:i w:val="0"/>
            <w:iCs w:val="0"/>
            <w:noProof/>
            <w:sz w:val="22"/>
            <w:szCs w:val="22"/>
            <w:lang w:val="en-GB" w:eastAsia="en-GB" w:bidi="ar-SA"/>
          </w:rPr>
          <w:tab/>
        </w:r>
        <w:r w:rsidR="002F7E98" w:rsidRPr="002A5C41">
          <w:rPr>
            <w:rStyle w:val="Hyperlink"/>
            <w:noProof/>
          </w:rPr>
          <w:t>Az 5. cikk (1) bekezdésének d) pontja: Pontosság</w:t>
        </w:r>
        <w:r w:rsidR="002F7E98">
          <w:rPr>
            <w:noProof/>
            <w:webHidden/>
          </w:rPr>
          <w:tab/>
        </w:r>
        <w:r w:rsidR="002F7E98">
          <w:rPr>
            <w:noProof/>
            <w:webHidden/>
          </w:rPr>
          <w:fldChar w:fldCharType="begin"/>
        </w:r>
        <w:r w:rsidR="002F7E98">
          <w:rPr>
            <w:noProof/>
            <w:webHidden/>
          </w:rPr>
          <w:instrText xml:space="preserve"> PAGEREF _Toc521658147 \h </w:instrText>
        </w:r>
        <w:r w:rsidR="002F7E98">
          <w:rPr>
            <w:noProof/>
            <w:webHidden/>
          </w:rPr>
        </w:r>
        <w:r w:rsidR="002F7E98">
          <w:rPr>
            <w:noProof/>
            <w:webHidden/>
          </w:rPr>
          <w:fldChar w:fldCharType="separate"/>
        </w:r>
        <w:r w:rsidR="001718A1">
          <w:rPr>
            <w:noProof/>
            <w:webHidden/>
          </w:rPr>
          <w:t>12</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48" w:history="1">
        <w:r w:rsidR="002F7E98" w:rsidRPr="002A5C41">
          <w:rPr>
            <w:rStyle w:val="Hyperlink"/>
            <w:noProof/>
          </w:rPr>
          <w:t>5.</w:t>
        </w:r>
        <w:r w:rsidR="002F7E98">
          <w:rPr>
            <w:rFonts w:eastAsiaTheme="minorEastAsia" w:cstheme="minorBidi"/>
            <w:i w:val="0"/>
            <w:iCs w:val="0"/>
            <w:noProof/>
            <w:sz w:val="22"/>
            <w:szCs w:val="22"/>
            <w:lang w:val="en-GB" w:eastAsia="en-GB" w:bidi="ar-SA"/>
          </w:rPr>
          <w:tab/>
        </w:r>
        <w:r w:rsidR="002F7E98" w:rsidRPr="002A5C41">
          <w:rPr>
            <w:rStyle w:val="Hyperlink"/>
            <w:noProof/>
          </w:rPr>
          <w:t>Az 5. cikk (1) bekezdésének e) pontja: Korlátozott tárolhatóság</w:t>
        </w:r>
        <w:r w:rsidR="002F7E98">
          <w:rPr>
            <w:noProof/>
            <w:webHidden/>
          </w:rPr>
          <w:tab/>
        </w:r>
        <w:r w:rsidR="002F7E98">
          <w:rPr>
            <w:noProof/>
            <w:webHidden/>
          </w:rPr>
          <w:fldChar w:fldCharType="begin"/>
        </w:r>
        <w:r w:rsidR="002F7E98">
          <w:rPr>
            <w:noProof/>
            <w:webHidden/>
          </w:rPr>
          <w:instrText xml:space="preserve"> PAGEREF _Toc521658148 \h </w:instrText>
        </w:r>
        <w:r w:rsidR="002F7E98">
          <w:rPr>
            <w:noProof/>
            <w:webHidden/>
          </w:rPr>
        </w:r>
        <w:r w:rsidR="002F7E98">
          <w:rPr>
            <w:noProof/>
            <w:webHidden/>
          </w:rPr>
          <w:fldChar w:fldCharType="separate"/>
        </w:r>
        <w:r w:rsidR="001718A1">
          <w:rPr>
            <w:noProof/>
            <w:webHidden/>
          </w:rPr>
          <w:t>13</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49" w:history="1">
        <w:r w:rsidR="002F7E98" w:rsidRPr="002A5C41">
          <w:rPr>
            <w:rStyle w:val="Hyperlink"/>
            <w:noProof/>
          </w:rPr>
          <w:t>B.</w:t>
        </w:r>
        <w:r w:rsidR="002F7E98">
          <w:rPr>
            <w:rFonts w:eastAsiaTheme="minorEastAsia" w:cstheme="minorBidi"/>
            <w:smallCaps w:val="0"/>
            <w:noProof/>
            <w:sz w:val="22"/>
            <w:szCs w:val="22"/>
            <w:lang w:val="en-GB" w:eastAsia="en-GB" w:bidi="ar-SA"/>
          </w:rPr>
          <w:tab/>
        </w:r>
        <w:r w:rsidR="002F7E98" w:rsidRPr="002A5C41">
          <w:rPr>
            <w:rStyle w:val="Hyperlink"/>
            <w:noProof/>
          </w:rPr>
          <w:t>Az adatkezelés jogalapja</w:t>
        </w:r>
        <w:r w:rsidR="002F7E98">
          <w:rPr>
            <w:noProof/>
            <w:webHidden/>
          </w:rPr>
          <w:tab/>
        </w:r>
        <w:r w:rsidR="002F7E98">
          <w:rPr>
            <w:noProof/>
            <w:webHidden/>
          </w:rPr>
          <w:fldChar w:fldCharType="begin"/>
        </w:r>
        <w:r w:rsidR="002F7E98">
          <w:rPr>
            <w:noProof/>
            <w:webHidden/>
          </w:rPr>
          <w:instrText xml:space="preserve"> PAGEREF _Toc521658149 \h </w:instrText>
        </w:r>
        <w:r w:rsidR="002F7E98">
          <w:rPr>
            <w:noProof/>
            <w:webHidden/>
          </w:rPr>
        </w:r>
        <w:r w:rsidR="002F7E98">
          <w:rPr>
            <w:noProof/>
            <w:webHidden/>
          </w:rPr>
          <w:fldChar w:fldCharType="separate"/>
        </w:r>
        <w:r w:rsidR="001718A1">
          <w:rPr>
            <w:noProof/>
            <w:webHidden/>
          </w:rPr>
          <w:t>13</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50" w:history="1">
        <w:r w:rsidR="002F7E98" w:rsidRPr="002A5C41">
          <w:rPr>
            <w:rStyle w:val="Hyperlink"/>
            <w:noProof/>
          </w:rPr>
          <w:t>1.</w:t>
        </w:r>
        <w:r w:rsidR="002F7E98">
          <w:rPr>
            <w:rFonts w:eastAsiaTheme="minorEastAsia" w:cstheme="minorBidi"/>
            <w:i w:val="0"/>
            <w:iCs w:val="0"/>
            <w:noProof/>
            <w:sz w:val="22"/>
            <w:szCs w:val="22"/>
            <w:lang w:val="en-GB" w:eastAsia="en-GB" w:bidi="ar-SA"/>
          </w:rPr>
          <w:tab/>
        </w:r>
        <w:r w:rsidR="002F7E98" w:rsidRPr="002A5C41">
          <w:rPr>
            <w:rStyle w:val="Hyperlink"/>
            <w:noProof/>
          </w:rPr>
          <w:t>A 6. cikk (1) bekezdésének a) pontja: hozzájárulás</w:t>
        </w:r>
        <w:r w:rsidR="002F7E98">
          <w:rPr>
            <w:noProof/>
            <w:webHidden/>
          </w:rPr>
          <w:tab/>
        </w:r>
        <w:r w:rsidR="002F7E98">
          <w:rPr>
            <w:noProof/>
            <w:webHidden/>
          </w:rPr>
          <w:fldChar w:fldCharType="begin"/>
        </w:r>
        <w:r w:rsidR="002F7E98">
          <w:rPr>
            <w:noProof/>
            <w:webHidden/>
          </w:rPr>
          <w:instrText xml:space="preserve"> PAGEREF _Toc521658150 \h </w:instrText>
        </w:r>
        <w:r w:rsidR="002F7E98">
          <w:rPr>
            <w:noProof/>
            <w:webHidden/>
          </w:rPr>
        </w:r>
        <w:r w:rsidR="002F7E98">
          <w:rPr>
            <w:noProof/>
            <w:webHidden/>
          </w:rPr>
          <w:fldChar w:fldCharType="separate"/>
        </w:r>
        <w:r w:rsidR="001718A1">
          <w:rPr>
            <w:noProof/>
            <w:webHidden/>
          </w:rPr>
          <w:t>13</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51" w:history="1">
        <w:r w:rsidR="002F7E98" w:rsidRPr="002A5C41">
          <w:rPr>
            <w:rStyle w:val="Hyperlink"/>
            <w:noProof/>
          </w:rPr>
          <w:t>2.</w:t>
        </w:r>
        <w:r w:rsidR="002F7E98">
          <w:rPr>
            <w:rFonts w:eastAsiaTheme="minorEastAsia" w:cstheme="minorBidi"/>
            <w:i w:val="0"/>
            <w:iCs w:val="0"/>
            <w:noProof/>
            <w:sz w:val="22"/>
            <w:szCs w:val="22"/>
            <w:lang w:val="en-GB" w:eastAsia="en-GB" w:bidi="ar-SA"/>
          </w:rPr>
          <w:tab/>
        </w:r>
        <w:r w:rsidR="002F7E98" w:rsidRPr="002A5C41">
          <w:rPr>
            <w:rStyle w:val="Hyperlink"/>
            <w:noProof/>
          </w:rPr>
          <w:t>A 6. cikk (1) bekezdésének b) pontja – szerződés teljesítéséhez szükséges</w:t>
        </w:r>
        <w:r w:rsidR="002F7E98">
          <w:rPr>
            <w:noProof/>
            <w:webHidden/>
          </w:rPr>
          <w:tab/>
        </w:r>
        <w:r w:rsidR="002F7E98">
          <w:rPr>
            <w:noProof/>
            <w:webHidden/>
          </w:rPr>
          <w:fldChar w:fldCharType="begin"/>
        </w:r>
        <w:r w:rsidR="002F7E98">
          <w:rPr>
            <w:noProof/>
            <w:webHidden/>
          </w:rPr>
          <w:instrText xml:space="preserve"> PAGEREF _Toc521658151 \h </w:instrText>
        </w:r>
        <w:r w:rsidR="002F7E98">
          <w:rPr>
            <w:noProof/>
            <w:webHidden/>
          </w:rPr>
        </w:r>
        <w:r w:rsidR="002F7E98">
          <w:rPr>
            <w:noProof/>
            <w:webHidden/>
          </w:rPr>
          <w:fldChar w:fldCharType="separate"/>
        </w:r>
        <w:r w:rsidR="001718A1">
          <w:rPr>
            <w:noProof/>
            <w:webHidden/>
          </w:rPr>
          <w:t>14</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52" w:history="1">
        <w:r w:rsidR="002F7E98" w:rsidRPr="002A5C41">
          <w:rPr>
            <w:rStyle w:val="Hyperlink"/>
            <w:noProof/>
          </w:rPr>
          <w:t>3.</w:t>
        </w:r>
        <w:r w:rsidR="002F7E98">
          <w:rPr>
            <w:rFonts w:eastAsiaTheme="minorEastAsia" w:cstheme="minorBidi"/>
            <w:i w:val="0"/>
            <w:iCs w:val="0"/>
            <w:noProof/>
            <w:sz w:val="22"/>
            <w:szCs w:val="22"/>
            <w:lang w:val="en-GB" w:eastAsia="en-GB" w:bidi="ar-SA"/>
          </w:rPr>
          <w:tab/>
        </w:r>
        <w:r w:rsidR="002F7E98" w:rsidRPr="002A5C41">
          <w:rPr>
            <w:rStyle w:val="Hyperlink"/>
            <w:noProof/>
          </w:rPr>
          <w:t>A 6. cikk (1) bekezdésének c) pontja – jogi kötelezettség teljesítéséhez szükséges</w:t>
        </w:r>
        <w:r w:rsidR="002F7E98">
          <w:rPr>
            <w:noProof/>
            <w:webHidden/>
          </w:rPr>
          <w:tab/>
        </w:r>
        <w:r w:rsidR="002F7E98">
          <w:rPr>
            <w:noProof/>
            <w:webHidden/>
          </w:rPr>
          <w:fldChar w:fldCharType="begin"/>
        </w:r>
        <w:r w:rsidR="002F7E98">
          <w:rPr>
            <w:noProof/>
            <w:webHidden/>
          </w:rPr>
          <w:instrText xml:space="preserve"> PAGEREF _Toc521658152 \h </w:instrText>
        </w:r>
        <w:r w:rsidR="002F7E98">
          <w:rPr>
            <w:noProof/>
            <w:webHidden/>
          </w:rPr>
        </w:r>
        <w:r w:rsidR="002F7E98">
          <w:rPr>
            <w:noProof/>
            <w:webHidden/>
          </w:rPr>
          <w:fldChar w:fldCharType="separate"/>
        </w:r>
        <w:r w:rsidR="001718A1">
          <w:rPr>
            <w:noProof/>
            <w:webHidden/>
          </w:rPr>
          <w:t>14</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53" w:history="1">
        <w:r w:rsidR="002F7E98" w:rsidRPr="002A5C41">
          <w:rPr>
            <w:rStyle w:val="Hyperlink"/>
            <w:noProof/>
          </w:rPr>
          <w:t>4.</w:t>
        </w:r>
        <w:r w:rsidR="002F7E98">
          <w:rPr>
            <w:rFonts w:eastAsiaTheme="minorEastAsia" w:cstheme="minorBidi"/>
            <w:i w:val="0"/>
            <w:iCs w:val="0"/>
            <w:noProof/>
            <w:sz w:val="22"/>
            <w:szCs w:val="22"/>
            <w:lang w:val="en-GB" w:eastAsia="en-GB" w:bidi="ar-SA"/>
          </w:rPr>
          <w:tab/>
        </w:r>
        <w:r w:rsidR="002F7E98" w:rsidRPr="002A5C41">
          <w:rPr>
            <w:rStyle w:val="Hyperlink"/>
            <w:noProof/>
          </w:rPr>
          <w:t>A 6. cikk (1) bekezdésének d) pontja – létfontosságú érdekek védelméhez szükséges</w:t>
        </w:r>
        <w:r w:rsidR="002F7E98">
          <w:rPr>
            <w:noProof/>
            <w:webHidden/>
          </w:rPr>
          <w:tab/>
        </w:r>
        <w:r w:rsidR="002F7E98">
          <w:rPr>
            <w:noProof/>
            <w:webHidden/>
          </w:rPr>
          <w:fldChar w:fldCharType="begin"/>
        </w:r>
        <w:r w:rsidR="002F7E98">
          <w:rPr>
            <w:noProof/>
            <w:webHidden/>
          </w:rPr>
          <w:instrText xml:space="preserve"> PAGEREF _Toc521658153 \h </w:instrText>
        </w:r>
        <w:r w:rsidR="002F7E98">
          <w:rPr>
            <w:noProof/>
            <w:webHidden/>
          </w:rPr>
        </w:r>
        <w:r w:rsidR="002F7E98">
          <w:rPr>
            <w:noProof/>
            <w:webHidden/>
          </w:rPr>
          <w:fldChar w:fldCharType="separate"/>
        </w:r>
        <w:r w:rsidR="001718A1">
          <w:rPr>
            <w:noProof/>
            <w:webHidden/>
          </w:rPr>
          <w:t>14</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54" w:history="1">
        <w:r w:rsidR="002F7E98" w:rsidRPr="002A5C41">
          <w:rPr>
            <w:rStyle w:val="Hyperlink"/>
            <w:noProof/>
          </w:rPr>
          <w:t>5.</w:t>
        </w:r>
        <w:r w:rsidR="002F7E98">
          <w:rPr>
            <w:rFonts w:eastAsiaTheme="minorEastAsia" w:cstheme="minorBidi"/>
            <w:i w:val="0"/>
            <w:iCs w:val="0"/>
            <w:noProof/>
            <w:sz w:val="22"/>
            <w:szCs w:val="22"/>
            <w:lang w:val="en-GB" w:eastAsia="en-GB" w:bidi="ar-SA"/>
          </w:rPr>
          <w:tab/>
        </w:r>
        <w:r w:rsidR="002F7E98" w:rsidRPr="002A5C41">
          <w:rPr>
            <w:rStyle w:val="Hyperlink"/>
            <w:noProof/>
          </w:rPr>
          <w:t>A 6. cikk (1) bekezdésének e) pontja – közérdekű feladat vagy közhatalmi jogosítvány gyakorlásához szükséges</w:t>
        </w:r>
        <w:r w:rsidR="002F7E98">
          <w:rPr>
            <w:noProof/>
            <w:webHidden/>
          </w:rPr>
          <w:tab/>
        </w:r>
        <w:r w:rsidR="002F7E98">
          <w:rPr>
            <w:noProof/>
            <w:webHidden/>
          </w:rPr>
          <w:fldChar w:fldCharType="begin"/>
        </w:r>
        <w:r w:rsidR="002F7E98">
          <w:rPr>
            <w:noProof/>
            <w:webHidden/>
          </w:rPr>
          <w:instrText xml:space="preserve"> PAGEREF _Toc521658154 \h </w:instrText>
        </w:r>
        <w:r w:rsidR="002F7E98">
          <w:rPr>
            <w:noProof/>
            <w:webHidden/>
          </w:rPr>
        </w:r>
        <w:r w:rsidR="002F7E98">
          <w:rPr>
            <w:noProof/>
            <w:webHidden/>
          </w:rPr>
          <w:fldChar w:fldCharType="separate"/>
        </w:r>
        <w:r w:rsidR="001718A1">
          <w:rPr>
            <w:noProof/>
            <w:webHidden/>
          </w:rPr>
          <w:t>15</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55" w:history="1">
        <w:r w:rsidR="002F7E98" w:rsidRPr="002A5C41">
          <w:rPr>
            <w:rStyle w:val="Hyperlink"/>
            <w:noProof/>
          </w:rPr>
          <w:t>6.</w:t>
        </w:r>
        <w:r w:rsidR="002F7E98">
          <w:rPr>
            <w:rFonts w:eastAsiaTheme="minorEastAsia" w:cstheme="minorBidi"/>
            <w:i w:val="0"/>
            <w:iCs w:val="0"/>
            <w:noProof/>
            <w:sz w:val="22"/>
            <w:szCs w:val="22"/>
            <w:lang w:val="en-GB" w:eastAsia="en-GB" w:bidi="ar-SA"/>
          </w:rPr>
          <w:tab/>
        </w:r>
        <w:r w:rsidR="002F7E98" w:rsidRPr="002A5C41">
          <w:rPr>
            <w:rStyle w:val="Hyperlink"/>
            <w:noProof/>
          </w:rPr>
          <w:t>A 6. cikk (1) bekezdésének f) pontja – az adatkezelő vagy egy harmadik fél jogos érdekei miatt szükséges</w:t>
        </w:r>
        <w:r w:rsidR="002F7E98">
          <w:rPr>
            <w:noProof/>
            <w:webHidden/>
          </w:rPr>
          <w:tab/>
        </w:r>
        <w:r w:rsidR="002F7E98">
          <w:rPr>
            <w:noProof/>
            <w:webHidden/>
          </w:rPr>
          <w:fldChar w:fldCharType="begin"/>
        </w:r>
        <w:r w:rsidR="002F7E98">
          <w:rPr>
            <w:noProof/>
            <w:webHidden/>
          </w:rPr>
          <w:instrText xml:space="preserve"> PAGEREF _Toc521658155 \h </w:instrText>
        </w:r>
        <w:r w:rsidR="002F7E98">
          <w:rPr>
            <w:noProof/>
            <w:webHidden/>
          </w:rPr>
        </w:r>
        <w:r w:rsidR="002F7E98">
          <w:rPr>
            <w:noProof/>
            <w:webHidden/>
          </w:rPr>
          <w:fldChar w:fldCharType="separate"/>
        </w:r>
        <w:r w:rsidR="001718A1">
          <w:rPr>
            <w:noProof/>
            <w:webHidden/>
          </w:rPr>
          <w:t>15</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56" w:history="1">
        <w:r w:rsidR="002F7E98" w:rsidRPr="002A5C41">
          <w:rPr>
            <w:rStyle w:val="Hyperlink"/>
            <w:noProof/>
          </w:rPr>
          <w:t>C.</w:t>
        </w:r>
        <w:r w:rsidR="002F7E98">
          <w:rPr>
            <w:rFonts w:eastAsiaTheme="minorEastAsia" w:cstheme="minorBidi"/>
            <w:smallCaps w:val="0"/>
            <w:noProof/>
            <w:sz w:val="22"/>
            <w:szCs w:val="22"/>
            <w:lang w:val="en-GB" w:eastAsia="en-GB" w:bidi="ar-SA"/>
          </w:rPr>
          <w:tab/>
        </w:r>
        <w:r w:rsidR="002F7E98" w:rsidRPr="002A5C41">
          <w:rPr>
            <w:rStyle w:val="Hyperlink"/>
            <w:noProof/>
          </w:rPr>
          <w:t>9. cikk: Különleges adatkategóriák</w:t>
        </w:r>
        <w:r w:rsidR="002F7E98">
          <w:rPr>
            <w:noProof/>
            <w:webHidden/>
          </w:rPr>
          <w:tab/>
        </w:r>
        <w:r w:rsidR="002F7E98">
          <w:rPr>
            <w:noProof/>
            <w:webHidden/>
          </w:rPr>
          <w:fldChar w:fldCharType="begin"/>
        </w:r>
        <w:r w:rsidR="002F7E98">
          <w:rPr>
            <w:noProof/>
            <w:webHidden/>
          </w:rPr>
          <w:instrText xml:space="preserve"> PAGEREF _Toc521658156 \h </w:instrText>
        </w:r>
        <w:r w:rsidR="002F7E98">
          <w:rPr>
            <w:noProof/>
            <w:webHidden/>
          </w:rPr>
        </w:r>
        <w:r w:rsidR="002F7E98">
          <w:rPr>
            <w:noProof/>
            <w:webHidden/>
          </w:rPr>
          <w:fldChar w:fldCharType="separate"/>
        </w:r>
        <w:r w:rsidR="001718A1">
          <w:rPr>
            <w:noProof/>
            <w:webHidden/>
          </w:rPr>
          <w:t>16</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57" w:history="1">
        <w:r w:rsidR="002F7E98" w:rsidRPr="002A5C41">
          <w:rPr>
            <w:rStyle w:val="Hyperlink"/>
            <w:noProof/>
          </w:rPr>
          <w:t>D.</w:t>
        </w:r>
        <w:r w:rsidR="002F7E98">
          <w:rPr>
            <w:rFonts w:eastAsiaTheme="minorEastAsia" w:cstheme="minorBidi"/>
            <w:smallCaps w:val="0"/>
            <w:noProof/>
            <w:sz w:val="22"/>
            <w:szCs w:val="22"/>
            <w:lang w:val="en-GB" w:eastAsia="en-GB" w:bidi="ar-SA"/>
          </w:rPr>
          <w:tab/>
        </w:r>
        <w:r w:rsidR="002F7E98" w:rsidRPr="002A5C41">
          <w:rPr>
            <w:rStyle w:val="Hyperlink"/>
            <w:noProof/>
          </w:rPr>
          <w:t>Az érintett jogai</w:t>
        </w:r>
        <w:r w:rsidR="002F7E98">
          <w:rPr>
            <w:noProof/>
            <w:webHidden/>
          </w:rPr>
          <w:tab/>
        </w:r>
        <w:r w:rsidR="002F7E98">
          <w:rPr>
            <w:noProof/>
            <w:webHidden/>
          </w:rPr>
          <w:fldChar w:fldCharType="begin"/>
        </w:r>
        <w:r w:rsidR="002F7E98">
          <w:rPr>
            <w:noProof/>
            <w:webHidden/>
          </w:rPr>
          <w:instrText xml:space="preserve"> PAGEREF _Toc521658157 \h </w:instrText>
        </w:r>
        <w:r w:rsidR="002F7E98">
          <w:rPr>
            <w:noProof/>
            <w:webHidden/>
          </w:rPr>
        </w:r>
        <w:r w:rsidR="002F7E98">
          <w:rPr>
            <w:noProof/>
            <w:webHidden/>
          </w:rPr>
          <w:fldChar w:fldCharType="separate"/>
        </w:r>
        <w:r w:rsidR="001718A1">
          <w:rPr>
            <w:noProof/>
            <w:webHidden/>
          </w:rPr>
          <w:t>16</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58" w:history="1">
        <w:r w:rsidR="002F7E98" w:rsidRPr="002A5C41">
          <w:rPr>
            <w:rStyle w:val="Hyperlink"/>
            <w:noProof/>
          </w:rPr>
          <w:t>1.</w:t>
        </w:r>
        <w:r w:rsidR="002F7E98">
          <w:rPr>
            <w:rFonts w:eastAsiaTheme="minorEastAsia" w:cstheme="minorBidi"/>
            <w:i w:val="0"/>
            <w:iCs w:val="0"/>
            <w:noProof/>
            <w:sz w:val="22"/>
            <w:szCs w:val="22"/>
            <w:lang w:val="en-GB" w:eastAsia="en-GB" w:bidi="ar-SA"/>
          </w:rPr>
          <w:tab/>
        </w:r>
        <w:r w:rsidR="002F7E98" w:rsidRPr="002A5C41">
          <w:rPr>
            <w:rStyle w:val="Hyperlink"/>
            <w:noProof/>
          </w:rPr>
          <w:t>13. és 14. cikk: A tájékoztatáshoz való jog</w:t>
        </w:r>
        <w:r w:rsidR="002F7E98">
          <w:rPr>
            <w:noProof/>
            <w:webHidden/>
          </w:rPr>
          <w:tab/>
        </w:r>
        <w:r w:rsidR="002F7E98">
          <w:rPr>
            <w:noProof/>
            <w:webHidden/>
          </w:rPr>
          <w:fldChar w:fldCharType="begin"/>
        </w:r>
        <w:r w:rsidR="002F7E98">
          <w:rPr>
            <w:noProof/>
            <w:webHidden/>
          </w:rPr>
          <w:instrText xml:space="preserve"> PAGEREF _Toc521658158 \h </w:instrText>
        </w:r>
        <w:r w:rsidR="002F7E98">
          <w:rPr>
            <w:noProof/>
            <w:webHidden/>
          </w:rPr>
        </w:r>
        <w:r w:rsidR="002F7E98">
          <w:rPr>
            <w:noProof/>
            <w:webHidden/>
          </w:rPr>
          <w:fldChar w:fldCharType="separate"/>
        </w:r>
        <w:r w:rsidR="001718A1">
          <w:rPr>
            <w:noProof/>
            <w:webHidden/>
          </w:rPr>
          <w:t>17</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59" w:history="1">
        <w:r w:rsidR="002F7E98" w:rsidRPr="002A5C41">
          <w:rPr>
            <w:rStyle w:val="Hyperlink"/>
            <w:noProof/>
          </w:rPr>
          <w:t>2.</w:t>
        </w:r>
        <w:r w:rsidR="002F7E98">
          <w:rPr>
            <w:rFonts w:eastAsiaTheme="minorEastAsia" w:cstheme="minorBidi"/>
            <w:i w:val="0"/>
            <w:iCs w:val="0"/>
            <w:noProof/>
            <w:sz w:val="22"/>
            <w:szCs w:val="22"/>
            <w:lang w:val="en-GB" w:eastAsia="en-GB" w:bidi="ar-SA"/>
          </w:rPr>
          <w:tab/>
        </w:r>
        <w:r w:rsidR="002F7E98" w:rsidRPr="002A5C41">
          <w:rPr>
            <w:rStyle w:val="Hyperlink"/>
            <w:noProof/>
          </w:rPr>
          <w:t>15. cikk: Hozzáférési jog</w:t>
        </w:r>
        <w:r w:rsidR="002F7E98">
          <w:rPr>
            <w:noProof/>
            <w:webHidden/>
          </w:rPr>
          <w:tab/>
        </w:r>
        <w:r w:rsidR="002F7E98">
          <w:rPr>
            <w:noProof/>
            <w:webHidden/>
          </w:rPr>
          <w:fldChar w:fldCharType="begin"/>
        </w:r>
        <w:r w:rsidR="002F7E98">
          <w:rPr>
            <w:noProof/>
            <w:webHidden/>
          </w:rPr>
          <w:instrText xml:space="preserve"> PAGEREF _Toc521658159 \h </w:instrText>
        </w:r>
        <w:r w:rsidR="002F7E98">
          <w:rPr>
            <w:noProof/>
            <w:webHidden/>
          </w:rPr>
        </w:r>
        <w:r w:rsidR="002F7E98">
          <w:rPr>
            <w:noProof/>
            <w:webHidden/>
          </w:rPr>
          <w:fldChar w:fldCharType="separate"/>
        </w:r>
        <w:r w:rsidR="001718A1">
          <w:rPr>
            <w:noProof/>
            <w:webHidden/>
          </w:rPr>
          <w:t>18</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60" w:history="1">
        <w:r w:rsidR="002F7E98" w:rsidRPr="002A5C41">
          <w:rPr>
            <w:rStyle w:val="Hyperlink"/>
            <w:noProof/>
          </w:rPr>
          <w:t>3.</w:t>
        </w:r>
        <w:r w:rsidR="002F7E98">
          <w:rPr>
            <w:rFonts w:eastAsiaTheme="minorEastAsia" w:cstheme="minorBidi"/>
            <w:i w:val="0"/>
            <w:iCs w:val="0"/>
            <w:noProof/>
            <w:sz w:val="22"/>
            <w:szCs w:val="22"/>
            <w:lang w:val="en-GB" w:eastAsia="en-GB" w:bidi="ar-SA"/>
          </w:rPr>
          <w:tab/>
        </w:r>
        <w:r w:rsidR="002F7E98" w:rsidRPr="002A5C41">
          <w:rPr>
            <w:rStyle w:val="Hyperlink"/>
            <w:noProof/>
          </w:rPr>
          <w:t>16. cikk: A helyesbítéshez való jog, 17. cikk: A törléshez való jog, 18. cikk: Az adatkezelés korlátozásához való jog</w:t>
        </w:r>
        <w:r w:rsidR="002F7E98">
          <w:rPr>
            <w:noProof/>
            <w:webHidden/>
          </w:rPr>
          <w:tab/>
        </w:r>
        <w:r w:rsidR="002F7E98">
          <w:rPr>
            <w:noProof/>
            <w:webHidden/>
          </w:rPr>
          <w:fldChar w:fldCharType="begin"/>
        </w:r>
        <w:r w:rsidR="002F7E98">
          <w:rPr>
            <w:noProof/>
            <w:webHidden/>
          </w:rPr>
          <w:instrText xml:space="preserve"> PAGEREF _Toc521658160 \h </w:instrText>
        </w:r>
        <w:r w:rsidR="002F7E98">
          <w:rPr>
            <w:noProof/>
            <w:webHidden/>
          </w:rPr>
        </w:r>
        <w:r w:rsidR="002F7E98">
          <w:rPr>
            <w:noProof/>
            <w:webHidden/>
          </w:rPr>
          <w:fldChar w:fldCharType="separate"/>
        </w:r>
        <w:r w:rsidR="001718A1">
          <w:rPr>
            <w:noProof/>
            <w:webHidden/>
          </w:rPr>
          <w:t>18</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61" w:history="1">
        <w:r w:rsidR="002F7E98" w:rsidRPr="002A5C41">
          <w:rPr>
            <w:rStyle w:val="Hyperlink"/>
            <w:noProof/>
          </w:rPr>
          <w:t>4.</w:t>
        </w:r>
        <w:r w:rsidR="002F7E98">
          <w:rPr>
            <w:rFonts w:eastAsiaTheme="minorEastAsia" w:cstheme="minorBidi"/>
            <w:i w:val="0"/>
            <w:iCs w:val="0"/>
            <w:noProof/>
            <w:sz w:val="22"/>
            <w:szCs w:val="22"/>
            <w:lang w:val="en-GB" w:eastAsia="en-GB" w:bidi="ar-SA"/>
          </w:rPr>
          <w:tab/>
        </w:r>
        <w:r w:rsidR="002F7E98" w:rsidRPr="002A5C41">
          <w:rPr>
            <w:rStyle w:val="Hyperlink"/>
            <w:noProof/>
          </w:rPr>
          <w:t>21. cikk: A tiltakozáshoz való jog</w:t>
        </w:r>
        <w:r w:rsidR="002F7E98">
          <w:rPr>
            <w:noProof/>
            <w:webHidden/>
          </w:rPr>
          <w:tab/>
        </w:r>
        <w:r w:rsidR="002F7E98">
          <w:rPr>
            <w:noProof/>
            <w:webHidden/>
          </w:rPr>
          <w:fldChar w:fldCharType="begin"/>
        </w:r>
        <w:r w:rsidR="002F7E98">
          <w:rPr>
            <w:noProof/>
            <w:webHidden/>
          </w:rPr>
          <w:instrText xml:space="preserve"> PAGEREF _Toc521658161 \h </w:instrText>
        </w:r>
        <w:r w:rsidR="002F7E98">
          <w:rPr>
            <w:noProof/>
            <w:webHidden/>
          </w:rPr>
        </w:r>
        <w:r w:rsidR="002F7E98">
          <w:rPr>
            <w:noProof/>
            <w:webHidden/>
          </w:rPr>
          <w:fldChar w:fldCharType="separate"/>
        </w:r>
        <w:r w:rsidR="001718A1">
          <w:rPr>
            <w:noProof/>
            <w:webHidden/>
          </w:rPr>
          <w:t>19</w:t>
        </w:r>
        <w:r w:rsidR="002F7E98">
          <w:rPr>
            <w:noProof/>
            <w:webHidden/>
          </w:rPr>
          <w:fldChar w:fldCharType="end"/>
        </w:r>
      </w:hyperlink>
    </w:p>
    <w:p w:rsidR="002F7E98" w:rsidRDefault="00E73752">
      <w:pPr>
        <w:pStyle w:val="TOC1"/>
        <w:rPr>
          <w:rFonts w:eastAsiaTheme="minorEastAsia" w:cstheme="minorBidi"/>
          <w:b w:val="0"/>
          <w:bCs w:val="0"/>
          <w:caps w:val="0"/>
          <w:noProof/>
          <w:sz w:val="22"/>
          <w:szCs w:val="22"/>
          <w:lang w:val="en-GB" w:eastAsia="en-GB" w:bidi="ar-SA"/>
        </w:rPr>
      </w:pPr>
      <w:hyperlink w:anchor="_Toc521658162" w:history="1">
        <w:r w:rsidR="002F7E98" w:rsidRPr="002A5C41">
          <w:rPr>
            <w:rStyle w:val="Hyperlink"/>
            <w:noProof/>
          </w:rPr>
          <w:t>IV.</w:t>
        </w:r>
        <w:r w:rsidR="002F7E98">
          <w:rPr>
            <w:rFonts w:eastAsiaTheme="minorEastAsia" w:cstheme="minorBidi"/>
            <w:b w:val="0"/>
            <w:bCs w:val="0"/>
            <w:caps w:val="0"/>
            <w:noProof/>
            <w:sz w:val="22"/>
            <w:szCs w:val="22"/>
            <w:lang w:val="en-GB" w:eastAsia="en-GB" w:bidi="ar-SA"/>
          </w:rPr>
          <w:tab/>
        </w:r>
        <w:r w:rsidR="002F7E98" w:rsidRPr="002A5C41">
          <w:rPr>
            <w:rStyle w:val="Hyperlink"/>
            <w:noProof/>
          </w:rPr>
          <w:t>A 22. cikkben meghatározott, kizárólag automatizált döntéshozatalra vonatkozó különös rendelkezések</w:t>
        </w:r>
        <w:r w:rsidR="002F7E98">
          <w:rPr>
            <w:noProof/>
            <w:webHidden/>
          </w:rPr>
          <w:tab/>
        </w:r>
        <w:r w:rsidR="002F7E98">
          <w:rPr>
            <w:noProof/>
            <w:webHidden/>
          </w:rPr>
          <w:fldChar w:fldCharType="begin"/>
        </w:r>
        <w:r w:rsidR="002F7E98">
          <w:rPr>
            <w:noProof/>
            <w:webHidden/>
          </w:rPr>
          <w:instrText xml:space="preserve"> PAGEREF _Toc521658162 \h </w:instrText>
        </w:r>
        <w:r w:rsidR="002F7E98">
          <w:rPr>
            <w:noProof/>
            <w:webHidden/>
          </w:rPr>
        </w:r>
        <w:r w:rsidR="002F7E98">
          <w:rPr>
            <w:noProof/>
            <w:webHidden/>
          </w:rPr>
          <w:fldChar w:fldCharType="separate"/>
        </w:r>
        <w:r w:rsidR="001718A1">
          <w:rPr>
            <w:noProof/>
            <w:webHidden/>
          </w:rPr>
          <w:t>20</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63" w:history="1">
        <w:r w:rsidR="002F7E98" w:rsidRPr="002A5C41">
          <w:rPr>
            <w:rStyle w:val="Hyperlink"/>
            <w:noProof/>
          </w:rPr>
          <w:t>A.</w:t>
        </w:r>
        <w:r w:rsidR="002F7E98">
          <w:rPr>
            <w:rFonts w:eastAsiaTheme="minorEastAsia" w:cstheme="minorBidi"/>
            <w:smallCaps w:val="0"/>
            <w:noProof/>
            <w:sz w:val="22"/>
            <w:szCs w:val="22"/>
            <w:lang w:val="en-GB" w:eastAsia="en-GB" w:bidi="ar-SA"/>
          </w:rPr>
          <w:tab/>
        </w:r>
        <w:r w:rsidR="002F7E98" w:rsidRPr="002A5C41">
          <w:rPr>
            <w:rStyle w:val="Hyperlink"/>
            <w:noProof/>
          </w:rPr>
          <w:t>„Kizárólag automatizált adatkezelésen alapuló döntés”</w:t>
        </w:r>
        <w:r w:rsidR="002F7E98">
          <w:rPr>
            <w:noProof/>
            <w:webHidden/>
          </w:rPr>
          <w:tab/>
        </w:r>
        <w:r w:rsidR="002F7E98">
          <w:rPr>
            <w:noProof/>
            <w:webHidden/>
          </w:rPr>
          <w:fldChar w:fldCharType="begin"/>
        </w:r>
        <w:r w:rsidR="002F7E98">
          <w:rPr>
            <w:noProof/>
            <w:webHidden/>
          </w:rPr>
          <w:instrText xml:space="preserve"> PAGEREF _Toc521658163 \h </w:instrText>
        </w:r>
        <w:r w:rsidR="002F7E98">
          <w:rPr>
            <w:noProof/>
            <w:webHidden/>
          </w:rPr>
        </w:r>
        <w:r w:rsidR="002F7E98">
          <w:rPr>
            <w:noProof/>
            <w:webHidden/>
          </w:rPr>
          <w:fldChar w:fldCharType="separate"/>
        </w:r>
        <w:r w:rsidR="001718A1">
          <w:rPr>
            <w:noProof/>
            <w:webHidden/>
          </w:rPr>
          <w:t>22</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64" w:history="1">
        <w:r w:rsidR="002F7E98" w:rsidRPr="002A5C41">
          <w:rPr>
            <w:rStyle w:val="Hyperlink"/>
            <w:noProof/>
          </w:rPr>
          <w:t>B.</w:t>
        </w:r>
        <w:r w:rsidR="002F7E98">
          <w:rPr>
            <w:rFonts w:eastAsiaTheme="minorEastAsia" w:cstheme="minorBidi"/>
            <w:smallCaps w:val="0"/>
            <w:noProof/>
            <w:sz w:val="22"/>
            <w:szCs w:val="22"/>
            <w:lang w:val="en-GB" w:eastAsia="en-GB" w:bidi="ar-SA"/>
          </w:rPr>
          <w:tab/>
        </w:r>
        <w:r w:rsidR="002F7E98" w:rsidRPr="002A5C41">
          <w:rPr>
            <w:rStyle w:val="Hyperlink"/>
            <w:noProof/>
          </w:rPr>
          <w:t>„Joghatás” vagy „hasonlóképpen jelentős” hatás</w:t>
        </w:r>
        <w:r w:rsidR="002F7E98">
          <w:rPr>
            <w:noProof/>
            <w:webHidden/>
          </w:rPr>
          <w:tab/>
        </w:r>
        <w:r w:rsidR="002F7E98">
          <w:rPr>
            <w:noProof/>
            <w:webHidden/>
          </w:rPr>
          <w:fldChar w:fldCharType="begin"/>
        </w:r>
        <w:r w:rsidR="002F7E98">
          <w:rPr>
            <w:noProof/>
            <w:webHidden/>
          </w:rPr>
          <w:instrText xml:space="preserve"> PAGEREF _Toc521658164 \h </w:instrText>
        </w:r>
        <w:r w:rsidR="002F7E98">
          <w:rPr>
            <w:noProof/>
            <w:webHidden/>
          </w:rPr>
        </w:r>
        <w:r w:rsidR="002F7E98">
          <w:rPr>
            <w:noProof/>
            <w:webHidden/>
          </w:rPr>
          <w:fldChar w:fldCharType="separate"/>
        </w:r>
        <w:r w:rsidR="001718A1">
          <w:rPr>
            <w:noProof/>
            <w:webHidden/>
          </w:rPr>
          <w:t>22</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65" w:history="1">
        <w:r w:rsidR="002F7E98" w:rsidRPr="002A5C41">
          <w:rPr>
            <w:rStyle w:val="Hyperlink"/>
            <w:noProof/>
          </w:rPr>
          <w:t>C.</w:t>
        </w:r>
        <w:r w:rsidR="002F7E98">
          <w:rPr>
            <w:rFonts w:eastAsiaTheme="minorEastAsia" w:cstheme="minorBidi"/>
            <w:smallCaps w:val="0"/>
            <w:noProof/>
            <w:sz w:val="22"/>
            <w:szCs w:val="22"/>
            <w:lang w:val="en-GB" w:eastAsia="en-GB" w:bidi="ar-SA"/>
          </w:rPr>
          <w:tab/>
        </w:r>
        <w:r w:rsidR="002F7E98" w:rsidRPr="002A5C41">
          <w:rPr>
            <w:rStyle w:val="Hyperlink"/>
            <w:noProof/>
          </w:rPr>
          <w:t>Kivételek a tilalom alól</w:t>
        </w:r>
        <w:r w:rsidR="002F7E98">
          <w:rPr>
            <w:noProof/>
            <w:webHidden/>
          </w:rPr>
          <w:tab/>
        </w:r>
        <w:r w:rsidR="002F7E98">
          <w:rPr>
            <w:noProof/>
            <w:webHidden/>
          </w:rPr>
          <w:fldChar w:fldCharType="begin"/>
        </w:r>
        <w:r w:rsidR="002F7E98">
          <w:rPr>
            <w:noProof/>
            <w:webHidden/>
          </w:rPr>
          <w:instrText xml:space="preserve"> PAGEREF _Toc521658165 \h </w:instrText>
        </w:r>
        <w:r w:rsidR="002F7E98">
          <w:rPr>
            <w:noProof/>
            <w:webHidden/>
          </w:rPr>
        </w:r>
        <w:r w:rsidR="002F7E98">
          <w:rPr>
            <w:noProof/>
            <w:webHidden/>
          </w:rPr>
          <w:fldChar w:fldCharType="separate"/>
        </w:r>
        <w:r w:rsidR="001718A1">
          <w:rPr>
            <w:noProof/>
            <w:webHidden/>
          </w:rPr>
          <w:t>24</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66" w:history="1">
        <w:r w:rsidR="002F7E98" w:rsidRPr="002A5C41">
          <w:rPr>
            <w:rStyle w:val="Hyperlink"/>
            <w:noProof/>
          </w:rPr>
          <w:t>1.</w:t>
        </w:r>
        <w:r w:rsidR="002F7E98">
          <w:rPr>
            <w:rFonts w:eastAsiaTheme="minorEastAsia" w:cstheme="minorBidi"/>
            <w:i w:val="0"/>
            <w:iCs w:val="0"/>
            <w:noProof/>
            <w:sz w:val="22"/>
            <w:szCs w:val="22"/>
            <w:lang w:val="en-GB" w:eastAsia="en-GB" w:bidi="ar-SA"/>
          </w:rPr>
          <w:tab/>
        </w:r>
        <w:r w:rsidR="002F7E98" w:rsidRPr="002A5C41">
          <w:rPr>
            <w:rStyle w:val="Hyperlink"/>
            <w:noProof/>
          </w:rPr>
          <w:t>Szerződés teljesítése</w:t>
        </w:r>
        <w:r w:rsidR="002F7E98">
          <w:rPr>
            <w:noProof/>
            <w:webHidden/>
          </w:rPr>
          <w:tab/>
        </w:r>
        <w:r w:rsidR="002F7E98">
          <w:rPr>
            <w:noProof/>
            <w:webHidden/>
          </w:rPr>
          <w:fldChar w:fldCharType="begin"/>
        </w:r>
        <w:r w:rsidR="002F7E98">
          <w:rPr>
            <w:noProof/>
            <w:webHidden/>
          </w:rPr>
          <w:instrText xml:space="preserve"> PAGEREF _Toc521658166 \h </w:instrText>
        </w:r>
        <w:r w:rsidR="002F7E98">
          <w:rPr>
            <w:noProof/>
            <w:webHidden/>
          </w:rPr>
        </w:r>
        <w:r w:rsidR="002F7E98">
          <w:rPr>
            <w:noProof/>
            <w:webHidden/>
          </w:rPr>
          <w:fldChar w:fldCharType="separate"/>
        </w:r>
        <w:r w:rsidR="001718A1">
          <w:rPr>
            <w:noProof/>
            <w:webHidden/>
          </w:rPr>
          <w:t>24</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67" w:history="1">
        <w:r w:rsidR="002F7E98" w:rsidRPr="002A5C41">
          <w:rPr>
            <w:rStyle w:val="Hyperlink"/>
            <w:noProof/>
          </w:rPr>
          <w:t>2.</w:t>
        </w:r>
        <w:r w:rsidR="002F7E98">
          <w:rPr>
            <w:rFonts w:eastAsiaTheme="minorEastAsia" w:cstheme="minorBidi"/>
            <w:i w:val="0"/>
            <w:iCs w:val="0"/>
            <w:noProof/>
            <w:sz w:val="22"/>
            <w:szCs w:val="22"/>
            <w:lang w:val="en-GB" w:eastAsia="en-GB" w:bidi="ar-SA"/>
          </w:rPr>
          <w:tab/>
        </w:r>
        <w:r w:rsidR="002F7E98" w:rsidRPr="002A5C41">
          <w:rPr>
            <w:rStyle w:val="Hyperlink"/>
            <w:noProof/>
          </w:rPr>
          <w:t>Uniós vagy tagállami jog által engedélyezett</w:t>
        </w:r>
        <w:r w:rsidR="002F7E98">
          <w:rPr>
            <w:noProof/>
            <w:webHidden/>
          </w:rPr>
          <w:tab/>
        </w:r>
        <w:r w:rsidR="002F7E98">
          <w:rPr>
            <w:noProof/>
            <w:webHidden/>
          </w:rPr>
          <w:fldChar w:fldCharType="begin"/>
        </w:r>
        <w:r w:rsidR="002F7E98">
          <w:rPr>
            <w:noProof/>
            <w:webHidden/>
          </w:rPr>
          <w:instrText xml:space="preserve"> PAGEREF _Toc521658167 \h </w:instrText>
        </w:r>
        <w:r w:rsidR="002F7E98">
          <w:rPr>
            <w:noProof/>
            <w:webHidden/>
          </w:rPr>
        </w:r>
        <w:r w:rsidR="002F7E98">
          <w:rPr>
            <w:noProof/>
            <w:webHidden/>
          </w:rPr>
          <w:fldChar w:fldCharType="separate"/>
        </w:r>
        <w:r w:rsidR="001718A1">
          <w:rPr>
            <w:noProof/>
            <w:webHidden/>
          </w:rPr>
          <w:t>25</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68" w:history="1">
        <w:r w:rsidR="002F7E98" w:rsidRPr="002A5C41">
          <w:rPr>
            <w:rStyle w:val="Hyperlink"/>
            <w:noProof/>
          </w:rPr>
          <w:t>3.</w:t>
        </w:r>
        <w:r w:rsidR="002F7E98">
          <w:rPr>
            <w:rFonts w:eastAsiaTheme="minorEastAsia" w:cstheme="minorBidi"/>
            <w:i w:val="0"/>
            <w:iCs w:val="0"/>
            <w:noProof/>
            <w:sz w:val="22"/>
            <w:szCs w:val="22"/>
            <w:lang w:val="en-GB" w:eastAsia="en-GB" w:bidi="ar-SA"/>
          </w:rPr>
          <w:tab/>
        </w:r>
        <w:r w:rsidR="002F7E98" w:rsidRPr="002A5C41">
          <w:rPr>
            <w:rStyle w:val="Hyperlink"/>
            <w:noProof/>
          </w:rPr>
          <w:t>Kifejezett hozzájárulás</w:t>
        </w:r>
        <w:r w:rsidR="002F7E98">
          <w:rPr>
            <w:noProof/>
            <w:webHidden/>
          </w:rPr>
          <w:tab/>
        </w:r>
        <w:r w:rsidR="002F7E98">
          <w:rPr>
            <w:noProof/>
            <w:webHidden/>
          </w:rPr>
          <w:fldChar w:fldCharType="begin"/>
        </w:r>
        <w:r w:rsidR="002F7E98">
          <w:rPr>
            <w:noProof/>
            <w:webHidden/>
          </w:rPr>
          <w:instrText xml:space="preserve"> PAGEREF _Toc521658168 \h </w:instrText>
        </w:r>
        <w:r w:rsidR="002F7E98">
          <w:rPr>
            <w:noProof/>
            <w:webHidden/>
          </w:rPr>
        </w:r>
        <w:r w:rsidR="002F7E98">
          <w:rPr>
            <w:noProof/>
            <w:webHidden/>
          </w:rPr>
          <w:fldChar w:fldCharType="separate"/>
        </w:r>
        <w:r w:rsidR="001718A1">
          <w:rPr>
            <w:noProof/>
            <w:webHidden/>
          </w:rPr>
          <w:t>25</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69" w:history="1">
        <w:r w:rsidR="002F7E98" w:rsidRPr="002A5C41">
          <w:rPr>
            <w:rStyle w:val="Hyperlink"/>
            <w:noProof/>
          </w:rPr>
          <w:t>D.</w:t>
        </w:r>
        <w:r w:rsidR="002F7E98">
          <w:rPr>
            <w:rFonts w:eastAsiaTheme="minorEastAsia" w:cstheme="minorBidi"/>
            <w:smallCaps w:val="0"/>
            <w:noProof/>
            <w:sz w:val="22"/>
            <w:szCs w:val="22"/>
            <w:lang w:val="en-GB" w:eastAsia="en-GB" w:bidi="ar-SA"/>
          </w:rPr>
          <w:tab/>
        </w:r>
        <w:r w:rsidR="002F7E98" w:rsidRPr="002A5C41">
          <w:rPr>
            <w:rStyle w:val="Hyperlink"/>
            <w:noProof/>
          </w:rPr>
          <w:t>A személyes adatok különleges kategóriái: a 22. cikk (4) bekezdése</w:t>
        </w:r>
        <w:r w:rsidR="002F7E98">
          <w:rPr>
            <w:noProof/>
            <w:webHidden/>
          </w:rPr>
          <w:tab/>
        </w:r>
        <w:r w:rsidR="002F7E98">
          <w:rPr>
            <w:noProof/>
            <w:webHidden/>
          </w:rPr>
          <w:fldChar w:fldCharType="begin"/>
        </w:r>
        <w:r w:rsidR="002F7E98">
          <w:rPr>
            <w:noProof/>
            <w:webHidden/>
          </w:rPr>
          <w:instrText xml:space="preserve"> PAGEREF _Toc521658169 \h </w:instrText>
        </w:r>
        <w:r w:rsidR="002F7E98">
          <w:rPr>
            <w:noProof/>
            <w:webHidden/>
          </w:rPr>
        </w:r>
        <w:r w:rsidR="002F7E98">
          <w:rPr>
            <w:noProof/>
            <w:webHidden/>
          </w:rPr>
          <w:fldChar w:fldCharType="separate"/>
        </w:r>
        <w:r w:rsidR="001718A1">
          <w:rPr>
            <w:noProof/>
            <w:webHidden/>
          </w:rPr>
          <w:t>26</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70" w:history="1">
        <w:r w:rsidR="002F7E98" w:rsidRPr="002A5C41">
          <w:rPr>
            <w:rStyle w:val="Hyperlink"/>
            <w:noProof/>
          </w:rPr>
          <w:t>E.</w:t>
        </w:r>
        <w:r w:rsidR="002F7E98">
          <w:rPr>
            <w:rFonts w:eastAsiaTheme="minorEastAsia" w:cstheme="minorBidi"/>
            <w:smallCaps w:val="0"/>
            <w:noProof/>
            <w:sz w:val="22"/>
            <w:szCs w:val="22"/>
            <w:lang w:val="en-GB" w:eastAsia="en-GB" w:bidi="ar-SA"/>
          </w:rPr>
          <w:tab/>
        </w:r>
        <w:r w:rsidR="002F7E98" w:rsidRPr="002A5C41">
          <w:rPr>
            <w:rStyle w:val="Hyperlink"/>
            <w:noProof/>
          </w:rPr>
          <w:t>Az érintett jogai</w:t>
        </w:r>
        <w:r w:rsidR="002F7E98">
          <w:rPr>
            <w:noProof/>
            <w:webHidden/>
          </w:rPr>
          <w:tab/>
        </w:r>
        <w:r w:rsidR="002F7E98">
          <w:rPr>
            <w:noProof/>
            <w:webHidden/>
          </w:rPr>
          <w:fldChar w:fldCharType="begin"/>
        </w:r>
        <w:r w:rsidR="002F7E98">
          <w:rPr>
            <w:noProof/>
            <w:webHidden/>
          </w:rPr>
          <w:instrText xml:space="preserve"> PAGEREF _Toc521658170 \h </w:instrText>
        </w:r>
        <w:r w:rsidR="002F7E98">
          <w:rPr>
            <w:noProof/>
            <w:webHidden/>
          </w:rPr>
        </w:r>
        <w:r w:rsidR="002F7E98">
          <w:rPr>
            <w:noProof/>
            <w:webHidden/>
          </w:rPr>
          <w:fldChar w:fldCharType="separate"/>
        </w:r>
        <w:r w:rsidR="001718A1">
          <w:rPr>
            <w:noProof/>
            <w:webHidden/>
          </w:rPr>
          <w:t>26</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71" w:history="1">
        <w:r w:rsidR="002F7E98" w:rsidRPr="002A5C41">
          <w:rPr>
            <w:rStyle w:val="Hyperlink"/>
            <w:noProof/>
          </w:rPr>
          <w:t>1.</w:t>
        </w:r>
        <w:r w:rsidR="002F7E98">
          <w:rPr>
            <w:rFonts w:eastAsiaTheme="minorEastAsia" w:cstheme="minorBidi"/>
            <w:i w:val="0"/>
            <w:iCs w:val="0"/>
            <w:noProof/>
            <w:sz w:val="22"/>
            <w:szCs w:val="22"/>
            <w:lang w:val="en-GB" w:eastAsia="en-GB" w:bidi="ar-SA"/>
          </w:rPr>
          <w:tab/>
        </w:r>
        <w:r w:rsidR="002F7E98" w:rsidRPr="002A5C41">
          <w:rPr>
            <w:rStyle w:val="Hyperlink"/>
            <w:noProof/>
          </w:rPr>
          <w:t>A 13. cikk (2) bekezdésének f) pontja és a 14. cikk (2) bekezdésének g) pontja: Tájékoztatáshoz való jog</w:t>
        </w:r>
        <w:r w:rsidR="002F7E98">
          <w:rPr>
            <w:noProof/>
            <w:webHidden/>
          </w:rPr>
          <w:tab/>
        </w:r>
        <w:r w:rsidR="002F7E98">
          <w:rPr>
            <w:noProof/>
            <w:webHidden/>
          </w:rPr>
          <w:fldChar w:fldCharType="begin"/>
        </w:r>
        <w:r w:rsidR="002F7E98">
          <w:rPr>
            <w:noProof/>
            <w:webHidden/>
          </w:rPr>
          <w:instrText xml:space="preserve"> PAGEREF _Toc521658171 \h </w:instrText>
        </w:r>
        <w:r w:rsidR="002F7E98">
          <w:rPr>
            <w:noProof/>
            <w:webHidden/>
          </w:rPr>
        </w:r>
        <w:r w:rsidR="002F7E98">
          <w:rPr>
            <w:noProof/>
            <w:webHidden/>
          </w:rPr>
          <w:fldChar w:fldCharType="separate"/>
        </w:r>
        <w:r w:rsidR="001718A1">
          <w:rPr>
            <w:noProof/>
            <w:webHidden/>
          </w:rPr>
          <w:t>26</w:t>
        </w:r>
        <w:r w:rsidR="002F7E98">
          <w:rPr>
            <w:noProof/>
            <w:webHidden/>
          </w:rPr>
          <w:fldChar w:fldCharType="end"/>
        </w:r>
      </w:hyperlink>
    </w:p>
    <w:p w:rsidR="002F7E98" w:rsidRDefault="00E73752">
      <w:pPr>
        <w:pStyle w:val="TOC3"/>
        <w:rPr>
          <w:rFonts w:eastAsiaTheme="minorEastAsia" w:cstheme="minorBidi"/>
          <w:i w:val="0"/>
          <w:iCs w:val="0"/>
          <w:noProof/>
          <w:sz w:val="22"/>
          <w:szCs w:val="22"/>
          <w:lang w:val="en-GB" w:eastAsia="en-GB" w:bidi="ar-SA"/>
        </w:rPr>
      </w:pPr>
      <w:hyperlink w:anchor="_Toc521658172" w:history="1">
        <w:r w:rsidR="002F7E98" w:rsidRPr="002A5C41">
          <w:rPr>
            <w:rStyle w:val="Hyperlink"/>
            <w:noProof/>
          </w:rPr>
          <w:t>2.</w:t>
        </w:r>
        <w:r w:rsidR="002F7E98">
          <w:rPr>
            <w:rFonts w:eastAsiaTheme="minorEastAsia" w:cstheme="minorBidi"/>
            <w:i w:val="0"/>
            <w:iCs w:val="0"/>
            <w:noProof/>
            <w:sz w:val="22"/>
            <w:szCs w:val="22"/>
            <w:lang w:val="en-GB" w:eastAsia="en-GB" w:bidi="ar-SA"/>
          </w:rPr>
          <w:tab/>
        </w:r>
        <w:r w:rsidR="002F7E98" w:rsidRPr="002A5C41">
          <w:rPr>
            <w:rStyle w:val="Hyperlink"/>
            <w:noProof/>
          </w:rPr>
          <w:t>A 15. cikk (1) bekezdésének h) pontja: Hozzáférési jog</w:t>
        </w:r>
        <w:r w:rsidR="002F7E98">
          <w:rPr>
            <w:noProof/>
            <w:webHidden/>
          </w:rPr>
          <w:tab/>
        </w:r>
        <w:r w:rsidR="002F7E98">
          <w:rPr>
            <w:noProof/>
            <w:webHidden/>
          </w:rPr>
          <w:fldChar w:fldCharType="begin"/>
        </w:r>
        <w:r w:rsidR="002F7E98">
          <w:rPr>
            <w:noProof/>
            <w:webHidden/>
          </w:rPr>
          <w:instrText xml:space="preserve"> PAGEREF _Toc521658172 \h </w:instrText>
        </w:r>
        <w:r w:rsidR="002F7E98">
          <w:rPr>
            <w:noProof/>
            <w:webHidden/>
          </w:rPr>
        </w:r>
        <w:r w:rsidR="002F7E98">
          <w:rPr>
            <w:noProof/>
            <w:webHidden/>
          </w:rPr>
          <w:fldChar w:fldCharType="separate"/>
        </w:r>
        <w:r w:rsidR="001718A1">
          <w:rPr>
            <w:noProof/>
            <w:webHidden/>
          </w:rPr>
          <w:t>28</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73" w:history="1">
        <w:r w:rsidR="002F7E98" w:rsidRPr="002A5C41">
          <w:rPr>
            <w:rStyle w:val="Hyperlink"/>
            <w:noProof/>
          </w:rPr>
          <w:t>F.</w:t>
        </w:r>
        <w:r w:rsidR="002F7E98">
          <w:rPr>
            <w:rFonts w:eastAsiaTheme="minorEastAsia" w:cstheme="minorBidi"/>
            <w:smallCaps w:val="0"/>
            <w:noProof/>
            <w:sz w:val="22"/>
            <w:szCs w:val="22"/>
            <w:lang w:val="en-GB" w:eastAsia="en-GB" w:bidi="ar-SA"/>
          </w:rPr>
          <w:tab/>
        </w:r>
        <w:r w:rsidR="002F7E98" w:rsidRPr="002A5C41">
          <w:rPr>
            <w:rStyle w:val="Hyperlink"/>
            <w:noProof/>
          </w:rPr>
          <w:t>Megfelelő garanciák alkalmazása</w:t>
        </w:r>
        <w:r w:rsidR="002F7E98">
          <w:rPr>
            <w:noProof/>
            <w:webHidden/>
          </w:rPr>
          <w:tab/>
        </w:r>
        <w:r w:rsidR="002F7E98">
          <w:rPr>
            <w:noProof/>
            <w:webHidden/>
          </w:rPr>
          <w:fldChar w:fldCharType="begin"/>
        </w:r>
        <w:r w:rsidR="002F7E98">
          <w:rPr>
            <w:noProof/>
            <w:webHidden/>
          </w:rPr>
          <w:instrText xml:space="preserve"> PAGEREF _Toc521658173 \h </w:instrText>
        </w:r>
        <w:r w:rsidR="002F7E98">
          <w:rPr>
            <w:noProof/>
            <w:webHidden/>
          </w:rPr>
        </w:r>
        <w:r w:rsidR="002F7E98">
          <w:rPr>
            <w:noProof/>
            <w:webHidden/>
          </w:rPr>
          <w:fldChar w:fldCharType="separate"/>
        </w:r>
        <w:r w:rsidR="001718A1">
          <w:rPr>
            <w:noProof/>
            <w:webHidden/>
          </w:rPr>
          <w:t>29</w:t>
        </w:r>
        <w:r w:rsidR="002F7E98">
          <w:rPr>
            <w:noProof/>
            <w:webHidden/>
          </w:rPr>
          <w:fldChar w:fldCharType="end"/>
        </w:r>
      </w:hyperlink>
    </w:p>
    <w:p w:rsidR="002F7E98" w:rsidRDefault="00E73752">
      <w:pPr>
        <w:pStyle w:val="TOC1"/>
        <w:rPr>
          <w:rFonts w:eastAsiaTheme="minorEastAsia" w:cstheme="minorBidi"/>
          <w:b w:val="0"/>
          <w:bCs w:val="0"/>
          <w:caps w:val="0"/>
          <w:noProof/>
          <w:sz w:val="22"/>
          <w:szCs w:val="22"/>
          <w:lang w:val="en-GB" w:eastAsia="en-GB" w:bidi="ar-SA"/>
        </w:rPr>
      </w:pPr>
      <w:hyperlink w:anchor="_Toc521658174" w:history="1">
        <w:r w:rsidR="002F7E98" w:rsidRPr="002A5C41">
          <w:rPr>
            <w:rStyle w:val="Hyperlink"/>
            <w:noProof/>
          </w:rPr>
          <w:t>V.</w:t>
        </w:r>
        <w:r w:rsidR="002F7E98">
          <w:rPr>
            <w:rFonts w:eastAsiaTheme="minorEastAsia" w:cstheme="minorBidi"/>
            <w:b w:val="0"/>
            <w:bCs w:val="0"/>
            <w:caps w:val="0"/>
            <w:noProof/>
            <w:sz w:val="22"/>
            <w:szCs w:val="22"/>
            <w:lang w:val="en-GB" w:eastAsia="en-GB" w:bidi="ar-SA"/>
          </w:rPr>
          <w:tab/>
        </w:r>
        <w:r w:rsidR="002F7E98" w:rsidRPr="002A5C41">
          <w:rPr>
            <w:rStyle w:val="Hyperlink"/>
            <w:noProof/>
          </w:rPr>
          <w:t>A gyermekek és a profilalkotás</w:t>
        </w:r>
        <w:r w:rsidR="002F7E98">
          <w:rPr>
            <w:noProof/>
            <w:webHidden/>
          </w:rPr>
          <w:tab/>
        </w:r>
        <w:r w:rsidR="002F7E98">
          <w:rPr>
            <w:noProof/>
            <w:webHidden/>
          </w:rPr>
          <w:fldChar w:fldCharType="begin"/>
        </w:r>
        <w:r w:rsidR="002F7E98">
          <w:rPr>
            <w:noProof/>
            <w:webHidden/>
          </w:rPr>
          <w:instrText xml:space="preserve"> PAGEREF _Toc521658174 \h </w:instrText>
        </w:r>
        <w:r w:rsidR="002F7E98">
          <w:rPr>
            <w:noProof/>
            <w:webHidden/>
          </w:rPr>
        </w:r>
        <w:r w:rsidR="002F7E98">
          <w:rPr>
            <w:noProof/>
            <w:webHidden/>
          </w:rPr>
          <w:fldChar w:fldCharType="separate"/>
        </w:r>
        <w:r w:rsidR="001718A1">
          <w:rPr>
            <w:noProof/>
            <w:webHidden/>
          </w:rPr>
          <w:t>30</w:t>
        </w:r>
        <w:r w:rsidR="002F7E98">
          <w:rPr>
            <w:noProof/>
            <w:webHidden/>
          </w:rPr>
          <w:fldChar w:fldCharType="end"/>
        </w:r>
      </w:hyperlink>
    </w:p>
    <w:p w:rsidR="002F7E98" w:rsidRDefault="00E73752">
      <w:pPr>
        <w:pStyle w:val="TOC1"/>
        <w:rPr>
          <w:rFonts w:eastAsiaTheme="minorEastAsia" w:cstheme="minorBidi"/>
          <w:b w:val="0"/>
          <w:bCs w:val="0"/>
          <w:caps w:val="0"/>
          <w:noProof/>
          <w:sz w:val="22"/>
          <w:szCs w:val="22"/>
          <w:lang w:val="en-GB" w:eastAsia="en-GB" w:bidi="ar-SA"/>
        </w:rPr>
      </w:pPr>
      <w:hyperlink w:anchor="_Toc521658175" w:history="1">
        <w:r w:rsidR="002F7E98" w:rsidRPr="002A5C41">
          <w:rPr>
            <w:rStyle w:val="Hyperlink"/>
            <w:noProof/>
          </w:rPr>
          <w:t>VI.</w:t>
        </w:r>
        <w:r w:rsidR="002F7E98">
          <w:rPr>
            <w:rFonts w:eastAsiaTheme="minorEastAsia" w:cstheme="minorBidi"/>
            <w:b w:val="0"/>
            <w:bCs w:val="0"/>
            <w:caps w:val="0"/>
            <w:noProof/>
            <w:sz w:val="22"/>
            <w:szCs w:val="22"/>
            <w:lang w:val="en-GB" w:eastAsia="en-GB" w:bidi="ar-SA"/>
          </w:rPr>
          <w:tab/>
        </w:r>
        <w:r w:rsidR="002F7E98" w:rsidRPr="002A5C41">
          <w:rPr>
            <w:rStyle w:val="Hyperlink"/>
            <w:noProof/>
          </w:rPr>
          <w:t>Adatvédelmi hatásvizsgálatok (DPIA) és adatvédelmi tisztviselő (DPO)</w:t>
        </w:r>
        <w:r w:rsidR="002F7E98">
          <w:rPr>
            <w:noProof/>
            <w:webHidden/>
          </w:rPr>
          <w:tab/>
        </w:r>
        <w:r w:rsidR="002F7E98">
          <w:rPr>
            <w:noProof/>
            <w:webHidden/>
          </w:rPr>
          <w:fldChar w:fldCharType="begin"/>
        </w:r>
        <w:r w:rsidR="002F7E98">
          <w:rPr>
            <w:noProof/>
            <w:webHidden/>
          </w:rPr>
          <w:instrText xml:space="preserve"> PAGEREF _Toc521658175 \h </w:instrText>
        </w:r>
        <w:r w:rsidR="002F7E98">
          <w:rPr>
            <w:noProof/>
            <w:webHidden/>
          </w:rPr>
        </w:r>
        <w:r w:rsidR="002F7E98">
          <w:rPr>
            <w:noProof/>
            <w:webHidden/>
          </w:rPr>
          <w:fldChar w:fldCharType="separate"/>
        </w:r>
        <w:r w:rsidR="001718A1">
          <w:rPr>
            <w:noProof/>
            <w:webHidden/>
          </w:rPr>
          <w:t>31</w:t>
        </w:r>
        <w:r w:rsidR="002F7E98">
          <w:rPr>
            <w:noProof/>
            <w:webHidden/>
          </w:rPr>
          <w:fldChar w:fldCharType="end"/>
        </w:r>
      </w:hyperlink>
    </w:p>
    <w:p w:rsidR="002F7E98" w:rsidRDefault="00E73752">
      <w:pPr>
        <w:pStyle w:val="TOC1"/>
        <w:rPr>
          <w:rFonts w:eastAsiaTheme="minorEastAsia" w:cstheme="minorBidi"/>
          <w:b w:val="0"/>
          <w:bCs w:val="0"/>
          <w:caps w:val="0"/>
          <w:noProof/>
          <w:sz w:val="22"/>
          <w:szCs w:val="22"/>
          <w:lang w:val="en-GB" w:eastAsia="en-GB" w:bidi="ar-SA"/>
        </w:rPr>
      </w:pPr>
      <w:hyperlink w:anchor="_Toc521658176" w:history="1">
        <w:r w:rsidR="002F7E98" w:rsidRPr="002A5C41">
          <w:rPr>
            <w:rStyle w:val="Hyperlink"/>
            <w:noProof/>
          </w:rPr>
          <w:t>1. melléklet – Helyes gyakorlatra vonatkozó ajánlások</w:t>
        </w:r>
        <w:r w:rsidR="002F7E98">
          <w:rPr>
            <w:noProof/>
            <w:webHidden/>
          </w:rPr>
          <w:tab/>
        </w:r>
        <w:r w:rsidR="002F7E98">
          <w:rPr>
            <w:noProof/>
            <w:webHidden/>
          </w:rPr>
          <w:fldChar w:fldCharType="begin"/>
        </w:r>
        <w:r w:rsidR="002F7E98">
          <w:rPr>
            <w:noProof/>
            <w:webHidden/>
          </w:rPr>
          <w:instrText xml:space="preserve"> PAGEREF _Toc521658176 \h </w:instrText>
        </w:r>
        <w:r w:rsidR="002F7E98">
          <w:rPr>
            <w:noProof/>
            <w:webHidden/>
          </w:rPr>
        </w:r>
        <w:r w:rsidR="002F7E98">
          <w:rPr>
            <w:noProof/>
            <w:webHidden/>
          </w:rPr>
          <w:fldChar w:fldCharType="separate"/>
        </w:r>
        <w:r w:rsidR="001718A1">
          <w:rPr>
            <w:noProof/>
            <w:webHidden/>
          </w:rPr>
          <w:t>33</w:t>
        </w:r>
        <w:r w:rsidR="002F7E98">
          <w:rPr>
            <w:noProof/>
            <w:webHidden/>
          </w:rPr>
          <w:fldChar w:fldCharType="end"/>
        </w:r>
      </w:hyperlink>
    </w:p>
    <w:p w:rsidR="002F7E98" w:rsidRDefault="00E73752">
      <w:pPr>
        <w:pStyle w:val="TOC1"/>
        <w:rPr>
          <w:rFonts w:eastAsiaTheme="minorEastAsia" w:cstheme="minorBidi"/>
          <w:b w:val="0"/>
          <w:bCs w:val="0"/>
          <w:caps w:val="0"/>
          <w:noProof/>
          <w:sz w:val="22"/>
          <w:szCs w:val="22"/>
          <w:lang w:val="en-GB" w:eastAsia="en-GB" w:bidi="ar-SA"/>
        </w:rPr>
      </w:pPr>
      <w:hyperlink w:anchor="_Toc521658177" w:history="1">
        <w:r w:rsidR="002F7E98" w:rsidRPr="002A5C41">
          <w:rPr>
            <w:rStyle w:val="Hyperlink"/>
            <w:noProof/>
          </w:rPr>
          <w:t>2. melléklet – A GDPR kulcsfontosságú rendelkezései</w:t>
        </w:r>
        <w:r w:rsidR="002F7E98">
          <w:rPr>
            <w:noProof/>
            <w:webHidden/>
          </w:rPr>
          <w:tab/>
        </w:r>
        <w:r w:rsidR="002F7E98">
          <w:rPr>
            <w:noProof/>
            <w:webHidden/>
          </w:rPr>
          <w:fldChar w:fldCharType="begin"/>
        </w:r>
        <w:r w:rsidR="002F7E98">
          <w:rPr>
            <w:noProof/>
            <w:webHidden/>
          </w:rPr>
          <w:instrText xml:space="preserve"> PAGEREF _Toc521658177 \h </w:instrText>
        </w:r>
        <w:r w:rsidR="002F7E98">
          <w:rPr>
            <w:noProof/>
            <w:webHidden/>
          </w:rPr>
        </w:r>
        <w:r w:rsidR="002F7E98">
          <w:rPr>
            <w:noProof/>
            <w:webHidden/>
          </w:rPr>
          <w:fldChar w:fldCharType="separate"/>
        </w:r>
        <w:r w:rsidR="001718A1">
          <w:rPr>
            <w:noProof/>
            <w:webHidden/>
          </w:rPr>
          <w:t>36</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78" w:history="1">
        <w:r w:rsidR="002F7E98" w:rsidRPr="002A5C41">
          <w:rPr>
            <w:rStyle w:val="Hyperlink"/>
            <w:noProof/>
          </w:rPr>
          <w:t>A GDPR általános profilalkotásra és automatizált döntéshozatalra vonatkozó kulcsfontosságú rendelkezései</w:t>
        </w:r>
        <w:r w:rsidR="002F7E98">
          <w:rPr>
            <w:noProof/>
            <w:webHidden/>
          </w:rPr>
          <w:tab/>
        </w:r>
        <w:r w:rsidR="002F7E98">
          <w:rPr>
            <w:noProof/>
            <w:webHidden/>
          </w:rPr>
          <w:fldChar w:fldCharType="begin"/>
        </w:r>
        <w:r w:rsidR="002F7E98">
          <w:rPr>
            <w:noProof/>
            <w:webHidden/>
          </w:rPr>
          <w:instrText xml:space="preserve"> PAGEREF _Toc521658178 \h </w:instrText>
        </w:r>
        <w:r w:rsidR="002F7E98">
          <w:rPr>
            <w:noProof/>
            <w:webHidden/>
          </w:rPr>
        </w:r>
        <w:r w:rsidR="002F7E98">
          <w:rPr>
            <w:noProof/>
            <w:webHidden/>
          </w:rPr>
          <w:fldChar w:fldCharType="separate"/>
        </w:r>
        <w:r w:rsidR="001718A1">
          <w:rPr>
            <w:noProof/>
            <w:webHidden/>
          </w:rPr>
          <w:t>36</w:t>
        </w:r>
        <w:r w:rsidR="002F7E98">
          <w:rPr>
            <w:noProof/>
            <w:webHidden/>
          </w:rPr>
          <w:fldChar w:fldCharType="end"/>
        </w:r>
      </w:hyperlink>
    </w:p>
    <w:p w:rsidR="002F7E98" w:rsidRDefault="00E73752">
      <w:pPr>
        <w:pStyle w:val="TOC2"/>
        <w:rPr>
          <w:rFonts w:eastAsiaTheme="minorEastAsia" w:cstheme="minorBidi"/>
          <w:smallCaps w:val="0"/>
          <w:noProof/>
          <w:sz w:val="22"/>
          <w:szCs w:val="22"/>
          <w:lang w:val="en-GB" w:eastAsia="en-GB" w:bidi="ar-SA"/>
        </w:rPr>
      </w:pPr>
      <w:hyperlink w:anchor="_Toc521658179" w:history="1">
        <w:r w:rsidR="002F7E98" w:rsidRPr="002A5C41">
          <w:rPr>
            <w:rStyle w:val="Hyperlink"/>
            <w:noProof/>
          </w:rPr>
          <w:t>A GDPR-nek a 22. cikkben meghatározott automatizált döntéshozatalra hivatkozó kulcsfontosságú rendelkezései</w:t>
        </w:r>
        <w:r w:rsidR="002F7E98">
          <w:rPr>
            <w:noProof/>
            <w:webHidden/>
          </w:rPr>
          <w:tab/>
        </w:r>
        <w:r w:rsidR="002F7E98">
          <w:rPr>
            <w:noProof/>
            <w:webHidden/>
          </w:rPr>
          <w:fldChar w:fldCharType="begin"/>
        </w:r>
        <w:r w:rsidR="002F7E98">
          <w:rPr>
            <w:noProof/>
            <w:webHidden/>
          </w:rPr>
          <w:instrText xml:space="preserve"> PAGEREF _Toc521658179 \h </w:instrText>
        </w:r>
        <w:r w:rsidR="002F7E98">
          <w:rPr>
            <w:noProof/>
            <w:webHidden/>
          </w:rPr>
        </w:r>
        <w:r w:rsidR="002F7E98">
          <w:rPr>
            <w:noProof/>
            <w:webHidden/>
          </w:rPr>
          <w:fldChar w:fldCharType="separate"/>
        </w:r>
        <w:r w:rsidR="001718A1">
          <w:rPr>
            <w:noProof/>
            <w:webHidden/>
          </w:rPr>
          <w:t>37</w:t>
        </w:r>
        <w:r w:rsidR="002F7E98">
          <w:rPr>
            <w:noProof/>
            <w:webHidden/>
          </w:rPr>
          <w:fldChar w:fldCharType="end"/>
        </w:r>
      </w:hyperlink>
    </w:p>
    <w:p w:rsidR="002F7E98" w:rsidRDefault="00E73752">
      <w:pPr>
        <w:pStyle w:val="TOC1"/>
        <w:rPr>
          <w:rFonts w:eastAsiaTheme="minorEastAsia" w:cstheme="minorBidi"/>
          <w:b w:val="0"/>
          <w:bCs w:val="0"/>
          <w:caps w:val="0"/>
          <w:noProof/>
          <w:sz w:val="22"/>
          <w:szCs w:val="22"/>
          <w:lang w:val="en-GB" w:eastAsia="en-GB" w:bidi="ar-SA"/>
        </w:rPr>
      </w:pPr>
      <w:hyperlink w:anchor="_Toc521658180" w:history="1">
        <w:r w:rsidR="002F7E98" w:rsidRPr="002A5C41">
          <w:rPr>
            <w:rStyle w:val="Hyperlink"/>
            <w:noProof/>
          </w:rPr>
          <w:t>3. melléklet – További irodalom</w:t>
        </w:r>
        <w:r w:rsidR="002F7E98">
          <w:rPr>
            <w:noProof/>
            <w:webHidden/>
          </w:rPr>
          <w:tab/>
        </w:r>
        <w:r w:rsidR="002F7E98">
          <w:rPr>
            <w:noProof/>
            <w:webHidden/>
          </w:rPr>
          <w:fldChar w:fldCharType="begin"/>
        </w:r>
        <w:r w:rsidR="002F7E98">
          <w:rPr>
            <w:noProof/>
            <w:webHidden/>
          </w:rPr>
          <w:instrText xml:space="preserve"> PAGEREF _Toc521658180 \h </w:instrText>
        </w:r>
        <w:r w:rsidR="002F7E98">
          <w:rPr>
            <w:noProof/>
            <w:webHidden/>
          </w:rPr>
        </w:r>
        <w:r w:rsidR="002F7E98">
          <w:rPr>
            <w:noProof/>
            <w:webHidden/>
          </w:rPr>
          <w:fldChar w:fldCharType="separate"/>
        </w:r>
        <w:r w:rsidR="001718A1">
          <w:rPr>
            <w:noProof/>
            <w:webHidden/>
          </w:rPr>
          <w:t>40</w:t>
        </w:r>
        <w:r w:rsidR="002F7E98">
          <w:rPr>
            <w:noProof/>
            <w:webHidden/>
          </w:rPr>
          <w:fldChar w:fldCharType="end"/>
        </w:r>
      </w:hyperlink>
    </w:p>
    <w:p w:rsidR="00E006E1" w:rsidRDefault="002F7E98" w:rsidP="00E006E1">
      <w:pPr>
        <w:pStyle w:val="TOC1"/>
        <w:rPr>
          <w:rFonts w:eastAsiaTheme="minorEastAsia" w:cstheme="minorBidi"/>
          <w:b w:val="0"/>
          <w:bCs w:val="0"/>
          <w:caps w:val="0"/>
          <w:noProof/>
          <w:sz w:val="22"/>
          <w:szCs w:val="22"/>
        </w:rPr>
      </w:pPr>
      <w:r>
        <w:rPr>
          <w:rFonts w:ascii="Garamond" w:eastAsiaTheme="minorEastAsia" w:hAnsi="Garamond" w:cs="Tahoma"/>
          <w:b w:val="0"/>
          <w:bCs w:val="0"/>
          <w:caps w:val="0"/>
          <w:noProof/>
          <w:sz w:val="22"/>
          <w:szCs w:val="22"/>
        </w:rPr>
        <w:fldChar w:fldCharType="end"/>
      </w:r>
    </w:p>
    <w:p w:rsidR="004172BD" w:rsidRPr="00E77260" w:rsidRDefault="00A37934" w:rsidP="007A4121">
      <w:pPr>
        <w:pStyle w:val="Heading1"/>
      </w:pPr>
      <w:r>
        <w:br w:type="page"/>
      </w:r>
      <w:r>
        <w:lastRenderedPageBreak/>
        <w:t xml:space="preserve"> </w:t>
      </w:r>
      <w:bookmarkStart w:id="1" w:name="_Toc504568044"/>
      <w:bookmarkStart w:id="2" w:name="_Toc521658137"/>
      <w:bookmarkStart w:id="3" w:name="_Toc464117894"/>
      <w:r>
        <w:t>Bevezetés</w:t>
      </w:r>
      <w:bookmarkEnd w:id="1"/>
      <w:bookmarkEnd w:id="2"/>
    </w:p>
    <w:p w:rsidR="004172BD" w:rsidRDefault="004172BD" w:rsidP="00B61861">
      <w:pPr>
        <w:spacing w:after="0" w:line="240" w:lineRule="auto"/>
        <w:rPr>
          <w:sz w:val="24"/>
          <w:szCs w:val="24"/>
        </w:rPr>
      </w:pPr>
    </w:p>
    <w:p w:rsidR="004172BD" w:rsidRPr="00B41100" w:rsidRDefault="004172BD" w:rsidP="00B61861">
      <w:pPr>
        <w:spacing w:after="0" w:line="240" w:lineRule="auto"/>
        <w:rPr>
          <w:rFonts w:ascii="Times New Roman" w:hAnsi="Times New Roman"/>
        </w:rPr>
      </w:pPr>
      <w:r>
        <w:rPr>
          <w:rFonts w:ascii="Times New Roman" w:hAnsi="Times New Roman"/>
        </w:rPr>
        <w:t>Az általános adatvédelmi rendelet (a továbbiakban: GDPR) külön foglalkozik a profilalkotással és az automatizált egyedi döntéshozatallal, ideértve a profilalkotást is</w:t>
      </w:r>
      <w:r>
        <w:rPr>
          <w:rStyle w:val="FootnoteReference"/>
          <w:rFonts w:ascii="Times New Roman" w:hAnsi="Times New Roman"/>
        </w:rPr>
        <w:footnoteReference w:id="2"/>
      </w:r>
      <w:r>
        <w:t>.</w:t>
      </w:r>
    </w:p>
    <w:p w:rsidR="004172BD" w:rsidRDefault="004172BD" w:rsidP="00B61861">
      <w:pPr>
        <w:spacing w:after="0" w:line="240" w:lineRule="auto"/>
        <w:rPr>
          <w:rFonts w:ascii="Times New Roman" w:hAnsi="Times New Roman"/>
        </w:rPr>
      </w:pPr>
    </w:p>
    <w:p w:rsidR="004172BD" w:rsidRPr="00A56F1E" w:rsidRDefault="004172BD" w:rsidP="00B61861">
      <w:pPr>
        <w:spacing w:after="0" w:line="240" w:lineRule="auto"/>
        <w:rPr>
          <w:rFonts w:ascii="Times New Roman" w:hAnsi="Times New Roman"/>
        </w:rPr>
      </w:pPr>
      <w:r>
        <w:rPr>
          <w:rFonts w:ascii="Times New Roman" w:hAnsi="Times New Roman"/>
        </w:rPr>
        <w:t>Profilalkotást és automatizált döntéshozatalt egyre több ágazatban alkalmaznak, mind a köz-, mind a magánszférában. A bank- és pénzügyek, az egészségügy, az adózás, a biztosítás, a marketing és reklám csak néhány példa azon területekre, ahol egyre rendszeresebben végeznek profilalkotást a döntéshozatal támogatására.</w:t>
      </w:r>
    </w:p>
    <w:p w:rsidR="004172BD" w:rsidRPr="002A5D80" w:rsidRDefault="004172BD" w:rsidP="00B61861">
      <w:pPr>
        <w:spacing w:after="0" w:line="240" w:lineRule="auto"/>
        <w:rPr>
          <w:rFonts w:ascii="Times New Roman" w:hAnsi="Times New Roman"/>
        </w:rPr>
      </w:pPr>
    </w:p>
    <w:p w:rsidR="004172BD" w:rsidRPr="002A5D80" w:rsidRDefault="004172BD" w:rsidP="00B61861">
      <w:pPr>
        <w:spacing w:after="0" w:line="240" w:lineRule="auto"/>
        <w:rPr>
          <w:rFonts w:ascii="Times New Roman" w:hAnsi="Times New Roman"/>
        </w:rPr>
      </w:pPr>
      <w:r>
        <w:rPr>
          <w:rFonts w:ascii="Times New Roman" w:hAnsi="Times New Roman"/>
        </w:rPr>
        <w:t>A technológia fejlődése és a nagy adathalmazok elemzésének képessége, a mesterséges intelligencia és a gépi tanulás megkönnyíti profilok létrehozását és az automatizált döntéshozatalt, ami jelentős hatást gyakorolhat a természetes személyek jogaira és szabadságaira.</w:t>
      </w:r>
    </w:p>
    <w:p w:rsidR="004172BD" w:rsidRPr="002A5D80" w:rsidRDefault="004172BD" w:rsidP="00B61861">
      <w:pPr>
        <w:spacing w:after="0" w:line="240" w:lineRule="auto"/>
        <w:rPr>
          <w:rFonts w:ascii="Times New Roman" w:hAnsi="Times New Roman"/>
        </w:rPr>
      </w:pPr>
    </w:p>
    <w:p w:rsidR="00341ED0" w:rsidRDefault="004172BD" w:rsidP="00B61861">
      <w:pPr>
        <w:spacing w:after="0" w:line="240" w:lineRule="auto"/>
        <w:rPr>
          <w:rFonts w:ascii="Times New Roman" w:hAnsi="Times New Roman"/>
        </w:rPr>
      </w:pPr>
      <w:r>
        <w:rPr>
          <w:rFonts w:ascii="Times New Roman" w:hAnsi="Times New Roman"/>
        </w:rPr>
        <w:t>Azáltal, hogy az interneten és a tárgyak internetével (IoT) kapcsolatos eszközök révén széles körben rendelkezésre állnak a személyes adatok, továbbá mód van ezekkel kapcsolatban összefüggéseket megállapítani és kapcsolatokat kialakítani, lehetővé válik meghatározni, elemezni és előrejelezni az egyének személyiségének vagy magatartásának, érdeklődési körének és s</w:t>
      </w:r>
      <w:r w:rsidR="002F7E98">
        <w:rPr>
          <w:rFonts w:ascii="Times New Roman" w:hAnsi="Times New Roman"/>
        </w:rPr>
        <w:t>zokásainak bizonyos jellemzőit.</w:t>
      </w:r>
    </w:p>
    <w:p w:rsidR="00FD1AEC" w:rsidRDefault="00FD1AEC" w:rsidP="00B61861">
      <w:pPr>
        <w:spacing w:after="0" w:line="240" w:lineRule="auto"/>
        <w:rPr>
          <w:rFonts w:ascii="Times New Roman" w:hAnsi="Times New Roman"/>
        </w:rPr>
      </w:pPr>
    </w:p>
    <w:p w:rsidR="00FD1AEC" w:rsidRDefault="00FD1AEC" w:rsidP="00B61861">
      <w:pPr>
        <w:spacing w:after="0" w:line="240" w:lineRule="auto"/>
        <w:rPr>
          <w:rFonts w:ascii="Times New Roman" w:hAnsi="Times New Roman"/>
        </w:rPr>
      </w:pPr>
      <w:r>
        <w:rPr>
          <w:rFonts w:ascii="Times New Roman" w:hAnsi="Times New Roman"/>
        </w:rPr>
        <w:t>A profilalkotás és az automatizált döntéshozatal hasznos lehet az egyének és a szervezetek számára, mivel olyan előnyökkel jár, mint például:</w:t>
      </w:r>
    </w:p>
    <w:p w:rsidR="00FD1AEC" w:rsidRDefault="00FD1AEC" w:rsidP="00B61861">
      <w:pPr>
        <w:spacing w:after="0" w:line="240" w:lineRule="auto"/>
        <w:rPr>
          <w:rFonts w:ascii="Times New Roman" w:hAnsi="Times New Roman"/>
        </w:rPr>
      </w:pP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a nagyobb hatékonyság; és</w:t>
      </w: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az erőforrás-megtakarítás.</w:t>
      </w:r>
    </w:p>
    <w:p w:rsidR="00220857" w:rsidRPr="00FD1AEC" w:rsidRDefault="00220857" w:rsidP="00B61861">
      <w:pPr>
        <w:pStyle w:val="ListParagraph"/>
        <w:spacing w:after="0" w:line="240" w:lineRule="auto"/>
        <w:rPr>
          <w:rFonts w:ascii="Times New Roman" w:hAnsi="Times New Roman"/>
        </w:rPr>
      </w:pPr>
    </w:p>
    <w:p w:rsidR="00341ED0" w:rsidRDefault="00D22E9B" w:rsidP="00B61861">
      <w:pPr>
        <w:spacing w:after="0" w:line="240" w:lineRule="auto"/>
        <w:rPr>
          <w:rFonts w:ascii="Times New Roman" w:hAnsi="Times New Roman"/>
        </w:rPr>
      </w:pPr>
      <w:r>
        <w:rPr>
          <w:rFonts w:ascii="Times New Roman" w:hAnsi="Times New Roman"/>
        </w:rPr>
        <w:t>Számos kereskedelmi alkalmazásuk van, például használhatók a piac jobb szegmentálására, valamint a szolgáltatások és termékek egyéni igényekhez történő igazítására. A gyógyászat, az oktatás, az egészségügy és a közlekedés számára is előnyösek lehetnek ezek az eljárások.</w:t>
      </w:r>
    </w:p>
    <w:p w:rsidR="00341ED0" w:rsidRDefault="00341ED0" w:rsidP="00B61861">
      <w:pPr>
        <w:spacing w:after="0" w:line="240" w:lineRule="auto"/>
        <w:rPr>
          <w:rFonts w:ascii="Times New Roman" w:hAnsi="Times New Roman"/>
        </w:rPr>
      </w:pPr>
    </w:p>
    <w:p w:rsidR="004244E6" w:rsidRDefault="005834A2" w:rsidP="00B61861">
      <w:pPr>
        <w:spacing w:after="0" w:line="240" w:lineRule="auto"/>
        <w:rPr>
          <w:rFonts w:ascii="Times New Roman" w:hAnsi="Times New Roman"/>
        </w:rPr>
      </w:pPr>
      <w:r>
        <w:rPr>
          <w:rFonts w:ascii="Times New Roman" w:hAnsi="Times New Roman"/>
        </w:rPr>
        <w:t>Azonban a profilalkotás és az automatizált döntéshozatal jelentős kockázatot jelenthet a személyek jogaira és szabadságaira, amelyek me</w:t>
      </w:r>
      <w:r w:rsidR="002F7E98">
        <w:rPr>
          <w:rFonts w:ascii="Times New Roman" w:hAnsi="Times New Roman"/>
        </w:rPr>
        <w:t>gfelelő garanciákat igényelnek.</w:t>
      </w:r>
    </w:p>
    <w:p w:rsidR="004244E6" w:rsidRDefault="004244E6" w:rsidP="00B61861">
      <w:pPr>
        <w:spacing w:after="0" w:line="240" w:lineRule="auto"/>
        <w:rPr>
          <w:rFonts w:ascii="Times New Roman" w:hAnsi="Times New Roman"/>
        </w:rPr>
      </w:pPr>
    </w:p>
    <w:p w:rsidR="005834A2" w:rsidRPr="00A83588" w:rsidRDefault="00220857" w:rsidP="00B61861">
      <w:pPr>
        <w:spacing w:after="0" w:line="240" w:lineRule="auto"/>
        <w:rPr>
          <w:rFonts w:ascii="Times New Roman" w:hAnsi="Times New Roman"/>
        </w:rPr>
      </w:pPr>
      <w:r>
        <w:rPr>
          <w:rFonts w:ascii="Times New Roman" w:hAnsi="Times New Roman"/>
        </w:rPr>
        <w:lastRenderedPageBreak/>
        <w:t>Ezek az eljárások lehetnek homályosak. A természetes személyek esetleg nem tudják, hogy profilalkotásban vesznek részt,</w:t>
      </w:r>
      <w:r w:rsidR="002F7E98">
        <w:rPr>
          <w:rFonts w:ascii="Times New Roman" w:hAnsi="Times New Roman"/>
        </w:rPr>
        <w:t xml:space="preserve"> vagy nem értik, ez mivel jár.</w:t>
      </w:r>
    </w:p>
    <w:p w:rsidR="00A560F7" w:rsidRPr="00A83588" w:rsidRDefault="00A560F7" w:rsidP="00B61861">
      <w:pPr>
        <w:spacing w:after="0" w:line="240" w:lineRule="auto"/>
        <w:rPr>
          <w:rFonts w:ascii="Times New Roman" w:hAnsi="Times New Roman"/>
        </w:rPr>
      </w:pPr>
    </w:p>
    <w:p w:rsidR="005834A2" w:rsidRPr="00A83588" w:rsidRDefault="005834A2" w:rsidP="00B61861">
      <w:pPr>
        <w:pStyle w:val="NormalWeb"/>
        <w:spacing w:after="0"/>
        <w:rPr>
          <w:sz w:val="22"/>
          <w:szCs w:val="22"/>
        </w:rPr>
      </w:pPr>
      <w:r>
        <w:rPr>
          <w:sz w:val="22"/>
        </w:rPr>
        <w:t>A profilalkotás ráerősíthet a meglevő sztereotípiákra és társadalmi szegregációra. Emellett a személyeket bizonyos kategóriákba skatulyázhatja be, és a számukra javasolt preferenciákra korlátozhatja őket. Ez alááshatja az egyének választási szabadságát például bizonyos termékek vagy szolgáltatások – könyvek, zene vagy hírcsatornák – tekintetében. Bizonyos esetekben a profilalkotás pontatlan előrejelzésekhez vezethet. Más esetekben a szolgáltatások és áruk igénybevételének megtagadásához és indokolatla</w:t>
      </w:r>
      <w:r w:rsidR="002F7E98">
        <w:rPr>
          <w:sz w:val="22"/>
        </w:rPr>
        <w:t>n megkülönböztetéshez vezethet.</w:t>
      </w:r>
    </w:p>
    <w:p w:rsidR="005834A2" w:rsidRDefault="005834A2" w:rsidP="00617EC0">
      <w:pPr>
        <w:spacing w:after="0" w:line="240" w:lineRule="auto"/>
        <w:jc w:val="both"/>
        <w:rPr>
          <w:rFonts w:ascii="Times New Roman" w:hAnsi="Times New Roman"/>
        </w:rPr>
      </w:pPr>
    </w:p>
    <w:p w:rsidR="00341ED0" w:rsidRDefault="005834A2" w:rsidP="0016394F">
      <w:pPr>
        <w:spacing w:after="0" w:line="240" w:lineRule="auto"/>
        <w:rPr>
          <w:rFonts w:ascii="Times New Roman" w:hAnsi="Times New Roman"/>
        </w:rPr>
      </w:pPr>
      <w:r>
        <w:rPr>
          <w:rFonts w:ascii="Times New Roman" w:hAnsi="Times New Roman"/>
        </w:rPr>
        <w:t>A GDPR új rendelkezéseket vezet be a profilalkotásból és az automatizált döntéshozatalból eredő, különösen, de nem kizárólagosan a magánélet védelmét fenyegető kockázatok kezelésére. Ezen iránymutatás célja, hogy tisz</w:t>
      </w:r>
      <w:r w:rsidR="002F7E98">
        <w:rPr>
          <w:rFonts w:ascii="Times New Roman" w:hAnsi="Times New Roman"/>
        </w:rPr>
        <w:t>tázza ezeket a rendelkezéseket.</w:t>
      </w:r>
    </w:p>
    <w:p w:rsidR="00677F84" w:rsidRDefault="00677F84" w:rsidP="0016394F">
      <w:pPr>
        <w:spacing w:after="0" w:line="240" w:lineRule="auto"/>
        <w:rPr>
          <w:rFonts w:ascii="Times New Roman" w:hAnsi="Times New Roman"/>
        </w:rPr>
      </w:pPr>
    </w:p>
    <w:p w:rsidR="006651A4" w:rsidRDefault="00677F84" w:rsidP="006651A4">
      <w:pPr>
        <w:spacing w:after="0" w:line="240" w:lineRule="auto"/>
        <w:rPr>
          <w:rFonts w:ascii="Times New Roman" w:hAnsi="Times New Roman"/>
        </w:rPr>
      </w:pPr>
      <w:r>
        <w:rPr>
          <w:rFonts w:ascii="Times New Roman" w:hAnsi="Times New Roman"/>
        </w:rPr>
        <w:t>A dokumentum a következőkre terjed ki:</w:t>
      </w:r>
    </w:p>
    <w:p w:rsidR="00E06F73" w:rsidRPr="006651A4" w:rsidRDefault="00E06F73" w:rsidP="006651A4">
      <w:pPr>
        <w:spacing w:after="0" w:line="240" w:lineRule="auto"/>
        <w:rPr>
          <w:rFonts w:ascii="Times New Roman" w:hAnsi="Times New Roman"/>
        </w:rPr>
      </w:pP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A profilalkotás és az automatizált döntéshozatal meghatározása és ezek általános megközelítése a GDPR alapján –</w:t>
      </w:r>
      <w:r>
        <w:t xml:space="preserve"> </w:t>
      </w:r>
      <w:hyperlink w:anchor="_Definitions" w:history="1">
        <w:r>
          <w:rPr>
            <w:rStyle w:val="Hyperlink"/>
            <w:rFonts w:ascii="Times New Roman" w:hAnsi="Times New Roman"/>
          </w:rPr>
          <w:t>II. fejezet</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A profilalkotásra és az automatizált döntéshozatalra vonatkozó általános rendelkezések – </w:t>
      </w:r>
      <w:hyperlink w:anchor="_Article_22_and" w:history="1">
        <w:r>
          <w:rPr>
            <w:rStyle w:val="Hyperlink"/>
            <w:rFonts w:ascii="Times New Roman" w:hAnsi="Times New Roman"/>
          </w:rPr>
          <w:t>III. fejezet</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Különös rendelkezések a 22. cikkben meghatározott kizárólag automatizált döntéshozatal tekintetében – </w:t>
      </w:r>
      <w:hyperlink w:anchor="_Specific_provisions_on_1" w:history="1">
        <w:r>
          <w:rPr>
            <w:rStyle w:val="Hyperlink"/>
            <w:rFonts w:ascii="Times New Roman" w:hAnsi="Times New Roman"/>
          </w:rPr>
          <w:t>IV. fejezet</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A gyermekek és a profilalkotás –</w:t>
      </w:r>
      <w:r>
        <w:t xml:space="preserve"> </w:t>
      </w:r>
      <w:hyperlink w:anchor="_Children_and_profiling" w:history="1">
        <w:r>
          <w:rPr>
            <w:rStyle w:val="Hyperlink"/>
            <w:rFonts w:ascii="Times New Roman" w:hAnsi="Times New Roman"/>
          </w:rPr>
          <w:t>V. fejezet</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Adatvédelmi hatásvizsgálat és adatvédelmi tisztviselők – </w:t>
      </w:r>
      <w:hyperlink w:anchor="_Data_protection_impact" w:history="1">
        <w:r>
          <w:rPr>
            <w:rStyle w:val="Hyperlink"/>
            <w:rFonts w:ascii="Times New Roman" w:hAnsi="Times New Roman"/>
          </w:rPr>
          <w:t>VI. fejezet</w:t>
        </w:r>
      </w:hyperlink>
    </w:p>
    <w:p w:rsidR="0022051B" w:rsidRDefault="0022051B" w:rsidP="0016394F">
      <w:pPr>
        <w:spacing w:after="0" w:line="240" w:lineRule="auto"/>
        <w:rPr>
          <w:rFonts w:ascii="Times New Roman" w:hAnsi="Times New Roman"/>
        </w:rPr>
      </w:pPr>
    </w:p>
    <w:p w:rsidR="00E65984" w:rsidRDefault="004172BD" w:rsidP="0016394F">
      <w:pPr>
        <w:spacing w:after="0" w:line="240" w:lineRule="auto"/>
        <w:rPr>
          <w:rFonts w:ascii="Times New Roman" w:hAnsi="Times New Roman"/>
        </w:rPr>
      </w:pPr>
      <w:r>
        <w:rPr>
          <w:rFonts w:ascii="Times New Roman" w:hAnsi="Times New Roman"/>
        </w:rPr>
        <w:t>A mellékletek a helyes gyakorlatra vonatkozó, az uniós tagállamok tapasztalatain al</w:t>
      </w:r>
      <w:r w:rsidR="0071558F">
        <w:rPr>
          <w:rFonts w:ascii="Times New Roman" w:hAnsi="Times New Roman"/>
        </w:rPr>
        <w:t>apuló ajánlásokat tartalmaznak.</w:t>
      </w:r>
    </w:p>
    <w:p w:rsidR="00E65984" w:rsidRDefault="00E65984" w:rsidP="0016394F">
      <w:pPr>
        <w:spacing w:after="0" w:line="240" w:lineRule="auto"/>
        <w:rPr>
          <w:rFonts w:ascii="Times New Roman" w:hAnsi="Times New Roman"/>
        </w:rPr>
      </w:pPr>
    </w:p>
    <w:p w:rsidR="004172BD" w:rsidRPr="00726961" w:rsidRDefault="004172BD" w:rsidP="0016394F">
      <w:pPr>
        <w:spacing w:after="0" w:line="240" w:lineRule="auto"/>
        <w:rPr>
          <w:rFonts w:ascii="Times New Roman" w:hAnsi="Times New Roman"/>
        </w:rPr>
      </w:pPr>
      <w:r>
        <w:rPr>
          <w:rFonts w:ascii="Times New Roman" w:hAnsi="Times New Roman"/>
        </w:rPr>
        <w:t>A 29. cikk szerinti adatvédelmi munkacsoport (a továbbiakban: WP29) figyelemmel kíséri a jelen iránymutatás alkalmazását, és adott esetben további részletekkel egészítheti ki.</w:t>
      </w:r>
    </w:p>
    <w:p w:rsidR="004172BD" w:rsidRDefault="004172BD" w:rsidP="00617EC0">
      <w:pPr>
        <w:spacing w:after="0" w:line="240" w:lineRule="auto"/>
        <w:jc w:val="both"/>
        <w:rPr>
          <w:rFonts w:ascii="Times New Roman" w:hAnsi="Times New Roman"/>
        </w:rPr>
      </w:pPr>
    </w:p>
    <w:p w:rsidR="004172BD" w:rsidRPr="00112DF7" w:rsidRDefault="00E65984" w:rsidP="00412A55">
      <w:pPr>
        <w:pStyle w:val="Heading1"/>
      </w:pPr>
      <w:bookmarkStart w:id="4" w:name="_Definitions"/>
      <w:bookmarkStart w:id="5" w:name="_Toc504568045"/>
      <w:bookmarkStart w:id="6" w:name="_Toc521658138"/>
      <w:bookmarkEnd w:id="4"/>
      <w:r>
        <w:t>Fogalommeghatározások</w:t>
      </w:r>
      <w:bookmarkEnd w:id="5"/>
      <w:bookmarkEnd w:id="6"/>
    </w:p>
    <w:p w:rsidR="005544F3" w:rsidRDefault="005544F3" w:rsidP="000631D9">
      <w:pPr>
        <w:spacing w:after="0" w:line="240" w:lineRule="auto"/>
        <w:rPr>
          <w:rFonts w:ascii="Times New Roman" w:hAnsi="Times New Roman"/>
        </w:rPr>
      </w:pPr>
      <w:r>
        <w:rPr>
          <w:rFonts w:ascii="Times New Roman" w:hAnsi="Times New Roman"/>
        </w:rPr>
        <w:t>A GDPR rendelkezéseket vezet be annak biztosítására, hogy a profilalkotást és az automatizált egyedi döntéshozatalt (függetlenül attól, hogy magában foglal-e profilalkotást) ne alkalmazzák a természetes személyek jogaira indokolatlan hatást gyakorló módon; ilyenek például:</w:t>
      </w:r>
    </w:p>
    <w:p w:rsidR="005544F3" w:rsidRDefault="005544F3" w:rsidP="00617EC0">
      <w:pPr>
        <w:spacing w:after="0" w:line="240" w:lineRule="auto"/>
        <w:jc w:val="both"/>
        <w:rPr>
          <w:rFonts w:ascii="Times New Roman" w:hAnsi="Times New Roman"/>
        </w:rPr>
      </w:pPr>
    </w:p>
    <w:p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az átláthatóságra és méltányosságra vonatkozó különleges előírások;</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a nagyobb mértékű elszámoltathatóságra vonatkozó kötelezettségek;</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az adatkezelés jogalapjainak meghatározása;</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a természetes személyek azon joga, hogy tiltakozzanak a profilalkotás, illetve kifejezetten a marketing céljára szolgáló profilalkotás ellen; továbbá</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a bizonyos feltételek teljesülése esetén elvégzendő adatvédelmi hatásvizsgálat.</w:t>
      </w:r>
    </w:p>
    <w:p w:rsidR="00FD39FE" w:rsidRDefault="00FD39FE" w:rsidP="00617EC0">
      <w:pPr>
        <w:pStyle w:val="NormalWeb"/>
        <w:spacing w:after="0"/>
        <w:jc w:val="both"/>
        <w:rPr>
          <w:sz w:val="22"/>
          <w:szCs w:val="22"/>
        </w:rPr>
      </w:pPr>
    </w:p>
    <w:p w:rsidR="004172BD" w:rsidRPr="00432185" w:rsidRDefault="00D2336C" w:rsidP="000631D9">
      <w:pPr>
        <w:pStyle w:val="NormalWeb"/>
        <w:spacing w:after="0"/>
        <w:rPr>
          <w:sz w:val="22"/>
          <w:szCs w:val="22"/>
        </w:rPr>
      </w:pPr>
      <w:r>
        <w:rPr>
          <w:sz w:val="22"/>
        </w:rPr>
        <w:t>A GDPR nemcsak az automatizált adatkezelés vagy profilalkotás eredményeként hozott döntésekre összpontosít. Vonatkozik a profilok létrehozását célzó adatgyűjtésre, valamint az ilyen profilok természetes sze</w:t>
      </w:r>
      <w:r w:rsidR="0071558F">
        <w:rPr>
          <w:sz w:val="22"/>
        </w:rPr>
        <w:t>mélyekre való alkalmazására is.</w:t>
      </w:r>
    </w:p>
    <w:p w:rsidR="004172BD" w:rsidRDefault="00084256" w:rsidP="00EF1D50">
      <w:pPr>
        <w:pStyle w:val="Heading2"/>
      </w:pPr>
      <w:bookmarkStart w:id="7" w:name="_Toc504568046"/>
      <w:bookmarkStart w:id="8" w:name="_Toc521658139"/>
      <w:r>
        <w:t>Profilalkotás</w:t>
      </w:r>
      <w:bookmarkEnd w:id="7"/>
      <w:bookmarkEnd w:id="8"/>
    </w:p>
    <w:p w:rsidR="004172BD" w:rsidRDefault="004172BD" w:rsidP="00617EC0">
      <w:pPr>
        <w:spacing w:after="0" w:line="240" w:lineRule="auto"/>
        <w:jc w:val="both"/>
        <w:rPr>
          <w:rFonts w:ascii="Times New Roman" w:hAnsi="Times New Roman"/>
          <w:b/>
        </w:rPr>
      </w:pPr>
    </w:p>
    <w:p w:rsidR="004172BD" w:rsidRDefault="004172BD" w:rsidP="00617EC0">
      <w:pPr>
        <w:spacing w:after="0" w:line="240" w:lineRule="auto"/>
        <w:jc w:val="both"/>
        <w:rPr>
          <w:rFonts w:ascii="Times New Roman" w:hAnsi="Times New Roman"/>
        </w:rPr>
      </w:pPr>
      <w:r>
        <w:rPr>
          <w:rFonts w:ascii="Times New Roman" w:hAnsi="Times New Roman"/>
        </w:rPr>
        <w:t xml:space="preserve">A profilalkotást a GPPR 4. cikkének (4) bekezdése az </w:t>
      </w:r>
      <w:r w:rsidR="0071558F">
        <w:rPr>
          <w:rFonts w:ascii="Times New Roman" w:hAnsi="Times New Roman"/>
        </w:rPr>
        <w:t>alábbiak szerint határozza meg:</w:t>
      </w:r>
    </w:p>
    <w:p w:rsidR="004172BD" w:rsidRPr="007C6631" w:rsidRDefault="004172BD" w:rsidP="00617EC0">
      <w:pPr>
        <w:spacing w:after="0" w:line="240" w:lineRule="auto"/>
        <w:jc w:val="both"/>
        <w:rPr>
          <w:rFonts w:ascii="Times New Roman" w:hAnsi="Times New Roman"/>
        </w:rPr>
      </w:pPr>
    </w:p>
    <w:p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személyes adatok automatizált kezelésének bármely olyan formája, amelynek során a személyes adatokat valamely természetes személyhez fűződő bizonyos személyes jellemzők értékelésére, különösen a munkahelyi teljesítményhez, gazdasági helyzethez, egészségi állapothoz, személyes preferenciákhoz, érdeklődéshez, megbízhatósághoz, viselkedéshez, tartózkodási helyhez vagy mozgáshoz kapcsolódó jellemzők elemzésére vagy előrejelzésére használják.</w:t>
      </w:r>
    </w:p>
    <w:p w:rsidR="004172BD" w:rsidRDefault="004172BD" w:rsidP="00617EC0">
      <w:pPr>
        <w:spacing w:after="0" w:line="240" w:lineRule="auto"/>
        <w:jc w:val="both"/>
        <w:rPr>
          <w:rFonts w:ascii="Times New Roman" w:hAnsi="Times New Roman"/>
        </w:rPr>
      </w:pPr>
      <w:r>
        <w:rPr>
          <w:rFonts w:ascii="Times New Roman" w:hAnsi="Times New Roman"/>
        </w:rPr>
        <w:t>A profilalkotás három elemből áll:</w:t>
      </w:r>
    </w:p>
    <w:p w:rsidR="004172BD" w:rsidRPr="00EA26C5" w:rsidRDefault="004172BD" w:rsidP="00617EC0">
      <w:pPr>
        <w:spacing w:after="0" w:line="240" w:lineRule="auto"/>
        <w:jc w:val="both"/>
        <w:rPr>
          <w:rFonts w:ascii="Times New Roman" w:hAnsi="Times New Roman"/>
        </w:rPr>
      </w:pP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valamilyen formájú </w:t>
      </w:r>
      <w:r>
        <w:rPr>
          <w:rFonts w:ascii="Times New Roman" w:hAnsi="Times New Roman"/>
          <w:i/>
        </w:rPr>
        <w:t>automatizált</w:t>
      </w:r>
      <w:r>
        <w:rPr>
          <w:rFonts w:ascii="Times New Roman" w:hAnsi="Times New Roman"/>
        </w:rPr>
        <w:t xml:space="preserve"> kezelésnek kell lennie;</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i/>
        </w:rPr>
        <w:t>személyes adatok</w:t>
      </w:r>
      <w:r>
        <w:rPr>
          <w:rFonts w:ascii="Times New Roman" w:hAnsi="Times New Roman"/>
        </w:rPr>
        <w:t xml:space="preserve"> tekintetében kell végezni; és</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a profilalkotás célja egy természetes személy </w:t>
      </w:r>
      <w:r>
        <w:rPr>
          <w:rFonts w:ascii="Times New Roman" w:hAnsi="Times New Roman"/>
          <w:i/>
        </w:rPr>
        <w:t>személyes jellemzőinek értékelése</w:t>
      </w:r>
      <w:r>
        <w:rPr>
          <w:rFonts w:ascii="Times New Roman" w:hAnsi="Times New Roman"/>
        </w:rPr>
        <w:t>.</w:t>
      </w:r>
    </w:p>
    <w:p w:rsidR="004172BD" w:rsidRDefault="004172BD" w:rsidP="00617EC0">
      <w:pPr>
        <w:spacing w:after="0" w:line="240" w:lineRule="auto"/>
        <w:jc w:val="both"/>
        <w:rPr>
          <w:rFonts w:ascii="Times New Roman" w:hAnsi="Times New Roman"/>
        </w:rPr>
      </w:pPr>
    </w:p>
    <w:p w:rsidR="004172BD" w:rsidRPr="00561105" w:rsidRDefault="004172BD" w:rsidP="00AC2052">
      <w:pPr>
        <w:spacing w:after="0" w:line="240" w:lineRule="auto"/>
        <w:rPr>
          <w:rFonts w:ascii="Times New Roman" w:hAnsi="Times New Roman"/>
        </w:rPr>
      </w:pPr>
      <w:r>
        <w:rPr>
          <w:rFonts w:ascii="Times New Roman" w:hAnsi="Times New Roman"/>
        </w:rPr>
        <w:t>A 4. cikk (4) bekezdése az „automatizált kezelés bármely formájára” utal, és nem „kizárólag” automatizált adatkezelésre (amelyre a 22. cikk hivatkozik). A profilalkotásnak magában kell foglalnia az automatizált adatkezelés valamilyen formáját, bár az emberi beavatkozás nem feltétlenül jelenti azt, hogy az adott tevékenységre nem alkalmazható a meghatározás.</w:t>
      </w:r>
    </w:p>
    <w:p w:rsidR="004172BD" w:rsidRPr="001879A2" w:rsidRDefault="004172BD" w:rsidP="00617EC0">
      <w:pPr>
        <w:spacing w:after="0" w:line="240" w:lineRule="auto"/>
        <w:jc w:val="both"/>
        <w:rPr>
          <w:rFonts w:ascii="Times New Roman" w:hAnsi="Times New Roman"/>
        </w:rPr>
      </w:pPr>
    </w:p>
    <w:p w:rsidR="004172BD" w:rsidRDefault="004172BD" w:rsidP="00AC2052">
      <w:pPr>
        <w:spacing w:after="0" w:line="240" w:lineRule="auto"/>
        <w:rPr>
          <w:rFonts w:ascii="Times New Roman" w:hAnsi="Times New Roman"/>
        </w:rPr>
      </w:pPr>
      <w:r>
        <w:rPr>
          <w:rFonts w:ascii="Times New Roman" w:hAnsi="Times New Roman"/>
        </w:rPr>
        <w:t>A profilalkotás olyan eljárás, amely egy sor statisztikai következtetést foglalhat magában. Gyakran használják arra, hogy különböző forrásokból származó adatok felhasználásával előrejelzéseket tegyenek emberekről oly módon, hogy az egyénről más, statisztikai szempontból hasonlónak tűnő személyek tulajdonságai alapján vonnak le k</w:t>
      </w:r>
      <w:r w:rsidR="0071558F">
        <w:rPr>
          <w:rFonts w:ascii="Times New Roman" w:hAnsi="Times New Roman"/>
        </w:rPr>
        <w:t>övetkeztetéseket.</w:t>
      </w:r>
    </w:p>
    <w:p w:rsidR="000725C5" w:rsidRDefault="000725C5" w:rsidP="00617EC0">
      <w:pPr>
        <w:spacing w:after="0" w:line="240" w:lineRule="auto"/>
        <w:jc w:val="both"/>
        <w:rPr>
          <w:rFonts w:ascii="Times New Roman" w:eastAsia="Calibri" w:hAnsi="Times New Roman"/>
          <w:sz w:val="24"/>
          <w:szCs w:val="24"/>
        </w:rPr>
      </w:pPr>
    </w:p>
    <w:p w:rsidR="00E6615C" w:rsidRDefault="004172BD" w:rsidP="00B61861">
      <w:pPr>
        <w:spacing w:after="0" w:line="240" w:lineRule="auto"/>
        <w:rPr>
          <w:rFonts w:ascii="Times New Roman" w:hAnsi="Times New Roman"/>
        </w:rPr>
      </w:pPr>
      <w:r>
        <w:rPr>
          <w:rFonts w:ascii="Times New Roman" w:hAnsi="Times New Roman"/>
        </w:rPr>
        <w:t xml:space="preserve">A GDPR értelmében a profilalkotás a személyes adatok olyan automatizált kezelése, amely személyes jellemzők értékelésére, különösen természetes személyek elemzésére </w:t>
      </w:r>
      <w:r>
        <w:rPr>
          <w:rFonts w:ascii="Times New Roman" w:hAnsi="Times New Roman"/>
          <w:i/>
        </w:rPr>
        <w:t>vagy</w:t>
      </w:r>
      <w:r>
        <w:rPr>
          <w:rFonts w:ascii="Times New Roman" w:hAnsi="Times New Roman"/>
        </w:rPr>
        <w:t xml:space="preserve"> velük kapcsolatos előr</w:t>
      </w:r>
      <w:r w:rsidR="0071558F">
        <w:rPr>
          <w:rFonts w:ascii="Times New Roman" w:hAnsi="Times New Roman"/>
        </w:rPr>
        <w:t xml:space="preserve">ejelzések készítésére irányul. </w:t>
      </w:r>
      <w:r>
        <w:rPr>
          <w:rFonts w:ascii="Times New Roman" w:hAnsi="Times New Roman"/>
        </w:rPr>
        <w:t xml:space="preserve">Az „értékelés” szó használata arra utal, hogy a profilalkotás együtt jár a személyre vonatkozó valamilyen </w:t>
      </w:r>
      <w:r w:rsidR="0071558F">
        <w:rPr>
          <w:rFonts w:ascii="Times New Roman" w:hAnsi="Times New Roman"/>
        </w:rPr>
        <w:t>értékeléssel vagy megítéléssel.</w:t>
      </w:r>
    </w:p>
    <w:p w:rsidR="00E6615C" w:rsidRDefault="00E6615C" w:rsidP="00B61861">
      <w:pPr>
        <w:spacing w:after="0" w:line="240" w:lineRule="auto"/>
        <w:rPr>
          <w:rFonts w:ascii="Times New Roman" w:hAnsi="Times New Roman"/>
        </w:rPr>
      </w:pPr>
    </w:p>
    <w:p w:rsidR="00E6615C" w:rsidRPr="00D674B3" w:rsidRDefault="00233FBE" w:rsidP="00B61861">
      <w:pPr>
        <w:spacing w:after="0" w:line="240" w:lineRule="auto"/>
        <w:rPr>
          <w:rFonts w:ascii="Times New Roman" w:hAnsi="Times New Roman"/>
        </w:rPr>
      </w:pPr>
      <w:r>
        <w:rPr>
          <w:rFonts w:ascii="Times New Roman" w:hAnsi="Times New Roman"/>
        </w:rPr>
        <w:t>A természetes személyek ismert tulajdonságokon (pl. életkor, nem vagy magasság) alapuló egyszerű besorolása nem vezet szükségképpen profilalkotáshoz. E</w:t>
      </w:r>
      <w:r w:rsidR="0071558F">
        <w:rPr>
          <w:rFonts w:ascii="Times New Roman" w:hAnsi="Times New Roman"/>
        </w:rPr>
        <w:t>z függ az osztályozás céljától.</w:t>
      </w:r>
    </w:p>
    <w:p w:rsidR="00DA3343" w:rsidRPr="00D674B3" w:rsidRDefault="00233FBE" w:rsidP="00B61861">
      <w:pPr>
        <w:spacing w:after="0" w:line="240" w:lineRule="auto"/>
        <w:rPr>
          <w:rFonts w:ascii="Times New Roman" w:hAnsi="Times New Roman"/>
        </w:rPr>
      </w:pPr>
      <w:r>
        <w:rPr>
          <w:rFonts w:ascii="Times New Roman" w:hAnsi="Times New Roman"/>
        </w:rPr>
        <w:t xml:space="preserve">Például lehetséges, hogy egy vállalkozás statisztikai célokból és az ügyfelek összesített áttekintése érdekében osztályozni kívánja a vevőit az életkoruk vagy a nemük alapján, anélkül, hogy bármilyen előrejelzést készítene vagy következtetést vonna le az egyénekről. Ebben az esetben a cél nem az egyéni jellemzők értékelése, </w:t>
      </w:r>
      <w:r w:rsidR="0071558F">
        <w:rPr>
          <w:rFonts w:ascii="Times New Roman" w:hAnsi="Times New Roman"/>
        </w:rPr>
        <w:t>és ezért ez nem profilalkotás.</w:t>
      </w:r>
    </w:p>
    <w:p w:rsidR="00DA3343" w:rsidRPr="00D674B3" w:rsidRDefault="00DA3343" w:rsidP="00617EC0">
      <w:pPr>
        <w:spacing w:after="0" w:line="240" w:lineRule="auto"/>
        <w:jc w:val="both"/>
        <w:rPr>
          <w:rFonts w:ascii="Times New Roman" w:hAnsi="Times New Roman"/>
        </w:rPr>
      </w:pPr>
    </w:p>
    <w:p w:rsidR="00954C5B" w:rsidRPr="00D674B3" w:rsidRDefault="00954C5B" w:rsidP="00B61861">
      <w:pPr>
        <w:spacing w:after="0" w:line="240" w:lineRule="auto"/>
        <w:rPr>
          <w:rFonts w:ascii="Times New Roman" w:hAnsi="Times New Roman"/>
        </w:rPr>
      </w:pPr>
      <w:r>
        <w:rPr>
          <w:rFonts w:ascii="Times New Roman" w:hAnsi="Times New Roman"/>
        </w:rPr>
        <w:t>A GDPR-t az Európa Tanács CM/Rec(2010)13 számú ajánlásában</w:t>
      </w:r>
      <w:r>
        <w:rPr>
          <w:rStyle w:val="FootnoteReference"/>
          <w:rFonts w:ascii="Times New Roman" w:eastAsiaTheme="majorEastAsia" w:hAnsi="Times New Roman"/>
        </w:rPr>
        <w:footnoteReference w:id="3"/>
      </w:r>
      <w:r>
        <w:rPr>
          <w:rFonts w:ascii="Times New Roman" w:hAnsi="Times New Roman"/>
        </w:rPr>
        <w:t xml:space="preserve"> („ajánlás”) szereplő meghatározás ihlette, de nem azonos azzal, mivel az ajánlás </w:t>
      </w:r>
      <w:r>
        <w:rPr>
          <w:rFonts w:ascii="Times New Roman" w:hAnsi="Times New Roman"/>
          <w:i/>
        </w:rPr>
        <w:t xml:space="preserve">kizárja </w:t>
      </w:r>
      <w:r>
        <w:rPr>
          <w:rFonts w:ascii="Times New Roman" w:hAnsi="Times New Roman"/>
        </w:rPr>
        <w:t>az olyan adatkezelést, amely nem foglal magában következtetést. Mindazonáltal az ajánlás hasznosan kifejti, hogy a profilalkotás három különböző szakaszból állhat:</w:t>
      </w:r>
    </w:p>
    <w:p w:rsidR="00954C5B" w:rsidRPr="00D674B3" w:rsidRDefault="00954C5B" w:rsidP="00617EC0">
      <w:pPr>
        <w:spacing w:after="0" w:line="240" w:lineRule="auto"/>
        <w:jc w:val="both"/>
        <w:rPr>
          <w:rFonts w:ascii="Times New Roman" w:hAnsi="Times New Roman"/>
        </w:rPr>
      </w:pPr>
    </w:p>
    <w:p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adatgyűjtés;</w:t>
      </w:r>
    </w:p>
    <w:p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automatizált elemzés az összefüggések felismerésére;</w:t>
      </w:r>
    </w:p>
    <w:p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az összefüggések alkalmazása adott természetes személyre a jelenlegi vagy jövőbeli viselke</w:t>
      </w:r>
      <w:r w:rsidR="0071558F">
        <w:rPr>
          <w:rFonts w:ascii="Times New Roman" w:hAnsi="Times New Roman"/>
        </w:rPr>
        <w:t>dés jellemzőinek azonosítására.</w:t>
      </w:r>
    </w:p>
    <w:p w:rsidR="00DD12F2" w:rsidRPr="00D674B3" w:rsidRDefault="00DD12F2" w:rsidP="00617EC0">
      <w:pPr>
        <w:spacing w:after="0" w:line="240" w:lineRule="auto"/>
        <w:jc w:val="both"/>
        <w:rPr>
          <w:rFonts w:ascii="Times New Roman" w:hAnsi="Times New Roman"/>
        </w:rPr>
      </w:pPr>
    </w:p>
    <w:p w:rsidR="0062542C" w:rsidRDefault="006C23A9" w:rsidP="00617EC0">
      <w:pPr>
        <w:spacing w:after="0" w:line="240" w:lineRule="auto"/>
        <w:jc w:val="both"/>
        <w:rPr>
          <w:rFonts w:ascii="Times New Roman" w:hAnsi="Times New Roman"/>
        </w:rPr>
      </w:pPr>
      <w:r>
        <w:rPr>
          <w:rFonts w:ascii="Times New Roman" w:hAnsi="Times New Roman"/>
        </w:rPr>
        <w:lastRenderedPageBreak/>
        <w:t>A profilalkotást végző adatkezelőknek gondoskodnia kell arról, hogy az összes fenti szakasz tekintetében megfeleljenek a GDPR követelményeinek.</w:t>
      </w:r>
    </w:p>
    <w:p w:rsidR="006C23A9" w:rsidRDefault="006C23A9" w:rsidP="00617EC0">
      <w:pPr>
        <w:spacing w:after="0" w:line="240" w:lineRule="auto"/>
        <w:jc w:val="both"/>
        <w:rPr>
          <w:rFonts w:ascii="Times New Roman" w:hAnsi="Times New Roman"/>
        </w:rPr>
      </w:pPr>
    </w:p>
    <w:p w:rsidR="00D2336C" w:rsidRDefault="00D2336C" w:rsidP="00617EC0">
      <w:pPr>
        <w:spacing w:after="0" w:line="240" w:lineRule="auto"/>
        <w:jc w:val="both"/>
        <w:rPr>
          <w:rFonts w:ascii="Times New Roman" w:hAnsi="Times New Roman"/>
        </w:rPr>
      </w:pPr>
      <w:r>
        <w:rPr>
          <w:rFonts w:ascii="Times New Roman" w:hAnsi="Times New Roman"/>
        </w:rPr>
        <w:t>Általánosságban elmondható, hogy a profilalkotás egy természetes személyről (vagy természetes személyek csoportjáról) való információgyűjtést és a jellemzőik vagy a viselkedési mintáik értékelését jelenti annak érdekében, hogy bizonyos kategóriába vagy csoportba sorolja őt (őket), különösen, hogy elemezze a következőket és/vagy előrejelzéseket tegyen például a következőkről:</w:t>
      </w:r>
    </w:p>
    <w:p w:rsidR="000153CE" w:rsidRPr="00B41100" w:rsidRDefault="000153CE" w:rsidP="00617EC0">
      <w:pPr>
        <w:spacing w:after="0" w:line="240" w:lineRule="auto"/>
        <w:jc w:val="both"/>
        <w:rPr>
          <w:rFonts w:ascii="Times New Roman" w:hAnsi="Times New Roman"/>
        </w:rPr>
      </w:pP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képesség egy feladat végrehajtására;</w:t>
      </w: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érdeklődési kör; vagy</w:t>
      </w:r>
    </w:p>
    <w:p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várható magatartás.</w:t>
      </w:r>
    </w:p>
    <w:p w:rsidR="00D31667" w:rsidRDefault="00D31667" w:rsidP="00617EC0">
      <w:pPr>
        <w:spacing w:after="0" w:line="240" w:lineRule="auto"/>
        <w:jc w:val="both"/>
        <w:rPr>
          <w:rFonts w:ascii="Times New Roman" w:hAnsi="Times New Roman"/>
        </w:rPr>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Példa</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Egy adatközvetítő különböző nyilvános és magánforrásokból gyűjt adatokat akár az ügyfelei nevében, akár a saját céljaira. Az adatközvetítő az adatok összeállítása útján profilokat hoz létre természetes személyekről, és őket szegmensekbe helyezi. Ezeket az információkat olyan cégeknek adja el, akik célzottabbá szeretnék tenni termékeiket és szolgáltatásaikat. Az adatközvetítő profilalkotást végez azáltal, hogy egy személyt az érdeklődési köre alapján </w:t>
      </w:r>
      <w:r w:rsidR="0071558F">
        <w:rPr>
          <w:rFonts w:ascii="Times New Roman" w:hAnsi="Times New Roman"/>
        </w:rPr>
        <w:t>egy bizonyos kategóriába sorol.</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 xml:space="preserve">Hogy történik-e a 22. cikk (1) bekezdésében írt automatizált döntéshozatal, az a körülményektől függ. </w:t>
      </w:r>
    </w:p>
    <w:p w:rsidR="00D31667" w:rsidRDefault="00D31667" w:rsidP="00617EC0">
      <w:pPr>
        <w:spacing w:after="0" w:line="240" w:lineRule="auto"/>
        <w:jc w:val="both"/>
        <w:rPr>
          <w:rFonts w:ascii="Times New Roman" w:hAnsi="Times New Roman"/>
        </w:rPr>
      </w:pPr>
    </w:p>
    <w:p w:rsidR="00434087" w:rsidRPr="00B41100" w:rsidRDefault="00434087" w:rsidP="00617EC0">
      <w:pPr>
        <w:spacing w:after="0" w:line="240" w:lineRule="auto"/>
        <w:jc w:val="both"/>
        <w:rPr>
          <w:rFonts w:ascii="Times New Roman" w:hAnsi="Times New Roman"/>
        </w:rPr>
      </w:pPr>
    </w:p>
    <w:p w:rsidR="004172BD" w:rsidRPr="00726961" w:rsidRDefault="001A730C" w:rsidP="00F549EA">
      <w:pPr>
        <w:pStyle w:val="Heading2"/>
      </w:pPr>
      <w:bookmarkStart w:id="9" w:name="_Toc504568047"/>
      <w:bookmarkStart w:id="10" w:name="_Toc521658140"/>
      <w:r>
        <w:t>Automatizált döntéshozatal</w:t>
      </w:r>
      <w:bookmarkEnd w:id="9"/>
      <w:bookmarkEnd w:id="10"/>
    </w:p>
    <w:p w:rsidR="004172BD" w:rsidRPr="00726961" w:rsidRDefault="004172BD" w:rsidP="00617EC0">
      <w:pPr>
        <w:spacing w:after="0" w:line="240" w:lineRule="auto"/>
        <w:jc w:val="both"/>
        <w:rPr>
          <w:rFonts w:ascii="Times New Roman" w:hAnsi="Times New Roman"/>
          <w:b/>
        </w:rPr>
      </w:pPr>
    </w:p>
    <w:p w:rsidR="004172BD" w:rsidRPr="00726961" w:rsidRDefault="004172BD" w:rsidP="00B61861">
      <w:pPr>
        <w:spacing w:after="0" w:line="240" w:lineRule="auto"/>
        <w:rPr>
          <w:rFonts w:ascii="Times New Roman" w:hAnsi="Times New Roman"/>
        </w:rPr>
      </w:pPr>
      <w:r>
        <w:rPr>
          <w:rFonts w:ascii="Times New Roman" w:hAnsi="Times New Roman"/>
        </w:rPr>
        <w:t>Az automatizált döntéshozatal hatóköre eltérő, és részben átfedheti a profilalkotást, vagy abból eredhet. Önmagában az automatizált döntéshozatal az a képesség, hogy technológiai eszközök segítségével, emberi beavatkozás nélkül hoznak döntéseket. Az automatizált döntések alapulhatnak bármilyen adaton, például:</w:t>
      </w:r>
    </w:p>
    <w:p w:rsidR="004172BD" w:rsidRPr="00726961" w:rsidRDefault="004172BD" w:rsidP="00617EC0">
      <w:pPr>
        <w:spacing w:after="0" w:line="240" w:lineRule="auto"/>
        <w:jc w:val="both"/>
        <w:rPr>
          <w:rFonts w:ascii="Times New Roman" w:hAnsi="Times New Roman"/>
        </w:rPr>
      </w:pP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közvetlenül az érintett természetes személyek által megadott adatokon (például kérdőívre adott válaszok);</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természetes személyekről megfigyelt adatokon (például egy alkalmazás révén gyűj</w:t>
      </w:r>
      <w:r w:rsidR="00D8262D">
        <w:rPr>
          <w:rFonts w:ascii="Times New Roman" w:hAnsi="Times New Roman"/>
        </w:rPr>
        <w:t>tött helymeghatározási adatok);</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származtatott vagy kikövetkeztetett adatokon, például a természetes személy már létrehozott profilján (pl. hitelminősítési pontszá</w:t>
      </w:r>
      <w:r w:rsidR="00D8262D">
        <w:rPr>
          <w:rFonts w:ascii="Times New Roman" w:hAnsi="Times New Roman"/>
        </w:rPr>
        <w:t>m).</w:t>
      </w:r>
    </w:p>
    <w:p w:rsidR="004172BD" w:rsidRPr="00726961" w:rsidRDefault="004172BD" w:rsidP="00617EC0">
      <w:pPr>
        <w:spacing w:after="0" w:line="240" w:lineRule="auto"/>
        <w:jc w:val="both"/>
        <w:rPr>
          <w:rFonts w:ascii="Times New Roman" w:hAnsi="Times New Roman"/>
        </w:rPr>
      </w:pPr>
    </w:p>
    <w:p w:rsidR="00A25043" w:rsidRDefault="00370828" w:rsidP="00B61861">
      <w:pPr>
        <w:spacing w:after="0" w:line="240" w:lineRule="auto"/>
        <w:rPr>
          <w:rFonts w:ascii="Times New Roman" w:hAnsi="Times New Roman"/>
        </w:rPr>
      </w:pPr>
      <w:r>
        <w:rPr>
          <w:rFonts w:ascii="Times New Roman" w:hAnsi="Times New Roman"/>
        </w:rPr>
        <w:t xml:space="preserve">Az automatizált döntéseket meg lehet hozni profilalkotással vagy anélkül; a profilalkotás történhet automatizált döntéshozatal nélkül. Azonban a profilalkotás és az automatizált döntéshozatal nem feltétlenül elkülönült tevékenységek. Valami, ami egyszerű automatizált döntéshozatali folyamatként indul, átalakulhat profilalkotáson alapuló folyamattá attól függően, hogy az </w:t>
      </w:r>
      <w:r w:rsidR="00D8262D">
        <w:rPr>
          <w:rFonts w:ascii="Times New Roman" w:hAnsi="Times New Roman"/>
        </w:rPr>
        <w:t>adatokat hogyan használják fel.</w:t>
      </w:r>
    </w:p>
    <w:p w:rsidR="000B1B36" w:rsidRDefault="000B1B36" w:rsidP="00617EC0">
      <w:pPr>
        <w:spacing w:after="0" w:line="240" w:lineRule="auto"/>
        <w:jc w:val="both"/>
        <w:rPr>
          <w:rFonts w:ascii="Times New Roman" w:hAnsi="Times New Roman"/>
        </w:rPr>
      </w:pP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Példa</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Gyorshajtási bírság kiszabása pusztán a sebességmérő kamerákból származó bizonyítékok alapján automatizált döntéshozatali folyamatnak minősül, amely nem feltétlenül jár profilalkotással.</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Azonban profilalkotáson alapuló döntéssé válik, ha az idők folyamán figyelemmel kísérik a természetes személy vezetési szokásait, és például a kiszabott bírság összege olyan más tényezőkre is kiterjedő értékelés eredménye, mint például, hogy a gyorshajtás ismétlődő szabálysértés-e, vagy hogy a vezető a közelmúltban elkövetett-e más közlekedési szabálysértést.</w:t>
      </w:r>
    </w:p>
    <w:p w:rsidR="000B1B36" w:rsidRDefault="000B1B36" w:rsidP="00617EC0">
      <w:pPr>
        <w:spacing w:after="0" w:line="240" w:lineRule="auto"/>
        <w:jc w:val="both"/>
        <w:rPr>
          <w:rFonts w:ascii="Times New Roman" w:hAnsi="Times New Roman"/>
        </w:rPr>
      </w:pPr>
    </w:p>
    <w:p w:rsidR="0037167B" w:rsidRPr="00F62094" w:rsidRDefault="0037167B" w:rsidP="001173AD">
      <w:pPr>
        <w:spacing w:line="240" w:lineRule="auto"/>
        <w:rPr>
          <w:rFonts w:ascii="Times New Roman" w:hAnsi="Times New Roman"/>
        </w:rPr>
      </w:pPr>
      <w:r>
        <w:rPr>
          <w:rFonts w:ascii="Times New Roman" w:hAnsi="Times New Roman"/>
        </w:rPr>
        <w:t>A nem kizárólagosan automatizált döntések is magukban foglalhatnak profilalkotást. Például jelzálogkölcsön odaítélése előtt a bank figyelembe veheti a hitelfelvevő hitelminősítési pontszámát, de emberek által végzett további érdemi beavatkozást követően hoznak csak bármiféle döntést az egyénre vonatkozóan.</w:t>
      </w:r>
    </w:p>
    <w:p w:rsidR="00284083" w:rsidRPr="00284083" w:rsidRDefault="00284083" w:rsidP="0007680C">
      <w:pPr>
        <w:pStyle w:val="Heading2"/>
      </w:pPr>
      <w:bookmarkStart w:id="11" w:name="_Toc504568048"/>
      <w:bookmarkStart w:id="12" w:name="_Toc521658141"/>
      <w:r>
        <w:t>Hogyan kezeli a GDPR a fogalmakat?</w:t>
      </w:r>
      <w:bookmarkEnd w:id="11"/>
      <w:bookmarkEnd w:id="12"/>
    </w:p>
    <w:p w:rsidR="00284083" w:rsidRDefault="00284083" w:rsidP="00617EC0">
      <w:pPr>
        <w:spacing w:after="0" w:line="240" w:lineRule="auto"/>
        <w:jc w:val="both"/>
        <w:rPr>
          <w:rFonts w:ascii="Times New Roman" w:hAnsi="Times New Roman"/>
        </w:rPr>
      </w:pPr>
    </w:p>
    <w:p w:rsidR="00651E33" w:rsidRDefault="00651E33" w:rsidP="00617EC0">
      <w:pPr>
        <w:spacing w:after="0" w:line="240" w:lineRule="auto"/>
        <w:jc w:val="both"/>
        <w:rPr>
          <w:rFonts w:ascii="Times New Roman" w:hAnsi="Times New Roman"/>
        </w:rPr>
      </w:pPr>
      <w:r>
        <w:rPr>
          <w:rFonts w:ascii="Times New Roman" w:hAnsi="Times New Roman"/>
        </w:rPr>
        <w:t>A profilalkotásnak három lehetséges alkalmazási módja van:</w:t>
      </w:r>
    </w:p>
    <w:p w:rsidR="00B67B5A" w:rsidRDefault="00B67B5A" w:rsidP="00617EC0">
      <w:pPr>
        <w:spacing w:after="0" w:line="240" w:lineRule="auto"/>
        <w:jc w:val="both"/>
        <w:rPr>
          <w:rFonts w:ascii="Times New Roman" w:hAnsi="Times New Roman"/>
        </w:rPr>
      </w:pPr>
    </w:p>
    <w:p w:rsidR="007436A2" w:rsidRDefault="007436A2" w:rsidP="00617EC0">
      <w:pPr>
        <w:spacing w:after="0" w:line="240" w:lineRule="auto"/>
        <w:ind w:left="360"/>
        <w:jc w:val="both"/>
        <w:rPr>
          <w:rFonts w:ascii="Times New Roman" w:hAnsi="Times New Roman"/>
        </w:rPr>
      </w:pPr>
      <w:r>
        <w:rPr>
          <w:rFonts w:ascii="Times New Roman" w:hAnsi="Times New Roman"/>
        </w:rPr>
        <w:t>(i) általános profilalkotás;</w:t>
      </w:r>
    </w:p>
    <w:p w:rsidR="00651E33" w:rsidRDefault="007436A2" w:rsidP="00617EC0">
      <w:pPr>
        <w:spacing w:after="0" w:line="240" w:lineRule="auto"/>
        <w:ind w:left="360"/>
        <w:jc w:val="both"/>
        <w:rPr>
          <w:rFonts w:ascii="Times New Roman" w:hAnsi="Times New Roman"/>
        </w:rPr>
      </w:pPr>
      <w:r>
        <w:rPr>
          <w:rFonts w:ascii="Times New Roman" w:hAnsi="Times New Roman"/>
        </w:rPr>
        <w:t>(ii) profilalkotáson alapuló döntéshozatal; és</w:t>
      </w:r>
    </w:p>
    <w:p w:rsidR="00651E33" w:rsidRPr="007436A2" w:rsidRDefault="000153CE" w:rsidP="00617EC0">
      <w:pPr>
        <w:spacing w:after="0" w:line="240" w:lineRule="auto"/>
        <w:ind w:left="360"/>
        <w:jc w:val="both"/>
        <w:rPr>
          <w:rFonts w:ascii="Times New Roman" w:hAnsi="Times New Roman"/>
        </w:rPr>
      </w:pPr>
      <w:r>
        <w:rPr>
          <w:rFonts w:ascii="Times New Roman" w:hAnsi="Times New Roman"/>
        </w:rPr>
        <w:t xml:space="preserve">(iii) </w:t>
      </w:r>
      <w:r>
        <w:rPr>
          <w:rFonts w:ascii="Times New Roman" w:hAnsi="Times New Roman"/>
          <w:i/>
        </w:rPr>
        <w:t>kizárólag</w:t>
      </w:r>
      <w:r>
        <w:rPr>
          <w:rFonts w:ascii="Times New Roman" w:hAnsi="Times New Roman"/>
        </w:rPr>
        <w:t xml:space="preserve"> automatizált döntéshozatal, ideértve a profilalkotást is, ami joghatással jár az érintettre vagy hasonlóképpen jelentős mértékben érinti az érintettet (a 22. cikk (1) bekezdése).</w:t>
      </w:r>
    </w:p>
    <w:p w:rsidR="00651E33" w:rsidRDefault="00651E33" w:rsidP="00617EC0">
      <w:pPr>
        <w:spacing w:after="0" w:line="240" w:lineRule="auto"/>
        <w:jc w:val="both"/>
        <w:rPr>
          <w:rFonts w:ascii="Times New Roman" w:hAnsi="Times New Roman"/>
        </w:rPr>
      </w:pPr>
    </w:p>
    <w:p w:rsidR="00651E33" w:rsidRPr="004F1F21" w:rsidRDefault="007436A2" w:rsidP="00617EC0">
      <w:pPr>
        <w:spacing w:after="0" w:line="240" w:lineRule="auto"/>
        <w:jc w:val="both"/>
        <w:rPr>
          <w:rFonts w:ascii="Times New Roman" w:hAnsi="Times New Roman"/>
        </w:rPr>
      </w:pPr>
      <w:r>
        <w:rPr>
          <w:rFonts w:ascii="Times New Roman" w:hAnsi="Times New Roman"/>
        </w:rPr>
        <w:t>A (ii) és (iii) közötti különbséget legjobban a következő két példa mutatja, amelyben egy személy az interneten keresztül hitelért folyamodik:</w:t>
      </w:r>
    </w:p>
    <w:p w:rsidR="00651E33" w:rsidRPr="004F1F21" w:rsidRDefault="00651E33" w:rsidP="00617EC0">
      <w:pPr>
        <w:spacing w:after="0" w:line="240" w:lineRule="auto"/>
        <w:jc w:val="both"/>
        <w:rPr>
          <w:rFonts w:ascii="Times New Roman" w:hAnsi="Times New Roman"/>
        </w:rPr>
      </w:pPr>
    </w:p>
    <w:p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ember dönt a hitelnyújtásról, kizárólag automatizált eszközökkel létrehozott profil alapján (ii);</w:t>
      </w:r>
    </w:p>
    <w:p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algoritmus dönt a hitelnyújtásról, és a döntést automatikusan, bármilyen előzetes és érdemi emberi értékelés nélkül megküldik a természetes személynek (iii).</w:t>
      </w:r>
    </w:p>
    <w:p w:rsidR="00651E33" w:rsidRDefault="00651E33" w:rsidP="00617EC0">
      <w:pPr>
        <w:spacing w:after="0" w:line="240" w:lineRule="auto"/>
        <w:jc w:val="both"/>
        <w:rPr>
          <w:rFonts w:ascii="Times New Roman" w:hAnsi="Times New Roman"/>
        </w:rPr>
      </w:pPr>
    </w:p>
    <w:p w:rsidR="00526443" w:rsidRDefault="00B241D5" w:rsidP="00BC6385">
      <w:pPr>
        <w:spacing w:after="0" w:line="240" w:lineRule="auto"/>
        <w:rPr>
          <w:rFonts w:ascii="Times New Roman" w:hAnsi="Times New Roman"/>
        </w:rPr>
      </w:pPr>
      <w:r>
        <w:rPr>
          <w:rFonts w:ascii="Times New Roman" w:hAnsi="Times New Roman"/>
        </w:rPr>
        <w:t>Az adatkezelők akkor végezhetnek profilalkotást és automatizált döntéshozatalt, ha megfelelnek az összes elvnek és az adatkezelésre jogszerű alapjuk van. További garanciákat és korlátozásokat kell alkalmazni a kizárólag automatizált döntéshozatal, ezen belül a profilalkotás esetében, amint ezt a 22. c</w:t>
      </w:r>
      <w:r w:rsidR="00D8262D">
        <w:rPr>
          <w:rFonts w:ascii="Times New Roman" w:hAnsi="Times New Roman"/>
        </w:rPr>
        <w:t>ikk (1) bekezdése meghatározza.</w:t>
      </w:r>
    </w:p>
    <w:p w:rsidR="005D6451" w:rsidRDefault="005D6451" w:rsidP="00617EC0">
      <w:pPr>
        <w:spacing w:after="0" w:line="240" w:lineRule="auto"/>
        <w:jc w:val="both"/>
        <w:rPr>
          <w:rFonts w:ascii="Times New Roman" w:hAnsi="Times New Roman"/>
        </w:rPr>
      </w:pPr>
    </w:p>
    <w:p w:rsidR="00765E1B" w:rsidRDefault="00765E1B" w:rsidP="00765E1B">
      <w:pPr>
        <w:spacing w:after="0" w:line="240" w:lineRule="auto"/>
        <w:rPr>
          <w:rFonts w:ascii="Times New Roman" w:hAnsi="Times New Roman"/>
        </w:rPr>
      </w:pPr>
      <w:r>
        <w:rPr>
          <w:rFonts w:ascii="Times New Roman" w:hAnsi="Times New Roman"/>
        </w:rPr>
        <w:t xml:space="preserve">Az iránymutatás III. fejezete bemutatja a GDPR azon rendelkezéseit, amelyeket </w:t>
      </w:r>
      <w:r>
        <w:rPr>
          <w:rFonts w:ascii="Times New Roman" w:hAnsi="Times New Roman"/>
          <w:i/>
        </w:rPr>
        <w:t xml:space="preserve">minden </w:t>
      </w:r>
      <w:r>
        <w:rPr>
          <w:rFonts w:ascii="Times New Roman" w:hAnsi="Times New Roman"/>
        </w:rPr>
        <w:t xml:space="preserve">profilalkotásra és automatizált egyedi döntéshozatalra alkalmazni kell. Ez magában foglalja a </w:t>
      </w:r>
      <w:r>
        <w:rPr>
          <w:rFonts w:ascii="Times New Roman" w:hAnsi="Times New Roman"/>
          <w:i/>
        </w:rPr>
        <w:t xml:space="preserve">nem </w:t>
      </w:r>
      <w:r>
        <w:rPr>
          <w:rFonts w:ascii="Times New Roman" w:hAnsi="Times New Roman"/>
        </w:rPr>
        <w:t>kizárólag automatizált döntéshozatali folyamatokat is.</w:t>
      </w:r>
    </w:p>
    <w:p w:rsidR="00765E1B" w:rsidRDefault="00765E1B" w:rsidP="00617EC0">
      <w:pPr>
        <w:spacing w:after="0" w:line="240" w:lineRule="auto"/>
        <w:jc w:val="both"/>
        <w:rPr>
          <w:rFonts w:ascii="Times New Roman" w:hAnsi="Times New Roman"/>
        </w:rPr>
      </w:pPr>
    </w:p>
    <w:p w:rsidR="00B812D1" w:rsidRDefault="00AA7E82" w:rsidP="000153CE">
      <w:pPr>
        <w:spacing w:after="0" w:line="240" w:lineRule="auto"/>
        <w:rPr>
          <w:rFonts w:ascii="Times New Roman" w:hAnsi="Times New Roman"/>
        </w:rPr>
      </w:pPr>
      <w:r>
        <w:rPr>
          <w:rFonts w:ascii="Times New Roman" w:hAnsi="Times New Roman"/>
        </w:rPr>
        <w:t xml:space="preserve">Az iránymutatás IV. fejezete azokat a különös rendelkezéseket mutatja be, amelyek </w:t>
      </w:r>
      <w:r>
        <w:rPr>
          <w:rFonts w:ascii="Times New Roman" w:hAnsi="Times New Roman"/>
          <w:i/>
        </w:rPr>
        <w:t>csak</w:t>
      </w:r>
      <w:r>
        <w:rPr>
          <w:rFonts w:ascii="Times New Roman" w:hAnsi="Times New Roman"/>
        </w:rPr>
        <w:t xml:space="preserve"> a kizárólag automatizált egyedi döntéshozatalra vonatkoznak, ideértve a profilalkotást is</w:t>
      </w:r>
      <w:r>
        <w:rPr>
          <w:rStyle w:val="FootnoteReference"/>
          <w:rFonts w:ascii="Times New Roman" w:hAnsi="Times New Roman"/>
        </w:rPr>
        <w:footnoteReference w:id="4"/>
      </w:r>
      <w:r>
        <w:t>.</w:t>
      </w:r>
      <w:r>
        <w:rPr>
          <w:rFonts w:ascii="Times New Roman" w:hAnsi="Times New Roman"/>
        </w:rPr>
        <w:t xml:space="preserve"> Az ilyen fajta adatkezelésre általános tilalom vonatkozik, ami a természetes személyek jogait és szabadságait érintő le</w:t>
      </w:r>
      <w:r w:rsidR="00D8262D">
        <w:rPr>
          <w:rFonts w:ascii="Times New Roman" w:hAnsi="Times New Roman"/>
        </w:rPr>
        <w:t>hetséges kockázatokat tükrözi.</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1658142"/>
      <w:r>
        <w:t>A profilalkotásra és az automatizált döntéshozatalra vonatkozó általános rendelkezések</w:t>
      </w:r>
      <w:bookmarkEnd w:id="26"/>
      <w:bookmarkEnd w:id="27"/>
    </w:p>
    <w:p w:rsidR="00DD5A64" w:rsidRDefault="00DD5A64" w:rsidP="00DD5A64">
      <w:pPr>
        <w:spacing w:line="240" w:lineRule="auto"/>
        <w:rPr>
          <w:rFonts w:ascii="Times New Roman" w:hAnsi="Times New Roman"/>
        </w:rPr>
      </w:pPr>
      <w:r>
        <w:rPr>
          <w:rFonts w:ascii="Times New Roman" w:hAnsi="Times New Roman"/>
        </w:rPr>
        <w:t>A rendelkezésekről készült ezen áttekintés minden profilalkotásra és automatizált döntéshozatalra vonatkozik. A IV. fejezetben szereplő további különös rendelkezések akkor alkalmazandók, ha az adatkezelés a 22. cikk (1) bekezdésében szereplő meghatározás hatálya alá tartozik.</w:t>
      </w:r>
    </w:p>
    <w:p w:rsidR="0017163F" w:rsidRDefault="0017163F" w:rsidP="0017163F">
      <w:pPr>
        <w:pStyle w:val="Heading2"/>
      </w:pPr>
      <w:bookmarkStart w:id="28" w:name="_Toc504568050"/>
      <w:bookmarkStart w:id="29" w:name="_Toc521658143"/>
      <w:r>
        <w:t>Adatvédelmi elvek</w:t>
      </w:r>
      <w:bookmarkEnd w:id="28"/>
      <w:bookmarkEnd w:id="29"/>
    </w:p>
    <w:p w:rsidR="0017163F" w:rsidRPr="00F020ED" w:rsidRDefault="0017163F" w:rsidP="0017163F">
      <w:pPr>
        <w:spacing w:line="240" w:lineRule="auto"/>
        <w:rPr>
          <w:rFonts w:ascii="Times New Roman" w:hAnsi="Times New Roman"/>
        </w:rPr>
      </w:pPr>
      <w:r>
        <w:rPr>
          <w:rFonts w:ascii="Times New Roman" w:hAnsi="Times New Roman"/>
        </w:rPr>
        <w:lastRenderedPageBreak/>
        <w:t>Az elvek vonatkoznak minden, személyes adatokat érintő profilalkotásra és automatizált döntéshozatalra</w:t>
      </w:r>
      <w:r>
        <w:rPr>
          <w:rStyle w:val="FootnoteReference"/>
          <w:rFonts w:ascii="Times New Roman" w:hAnsi="Times New Roman"/>
        </w:rPr>
        <w:footnoteReference w:id="5"/>
      </w:r>
      <w:r>
        <w:t>.</w:t>
      </w:r>
      <w:r w:rsidR="00573612">
        <w:rPr>
          <w:rFonts w:ascii="Times New Roman" w:hAnsi="Times New Roman"/>
        </w:rPr>
        <w:t xml:space="preserve"> </w:t>
      </w:r>
      <w:r>
        <w:rPr>
          <w:rFonts w:ascii="Times New Roman" w:hAnsi="Times New Roman"/>
        </w:rPr>
        <w:t>A megfelelés elősegítése érdekében az adatkezelőknek a következő kulcsfontosságú területeket kell figyelembe vennie:</w:t>
      </w:r>
    </w:p>
    <w:p w:rsidR="0017163F" w:rsidRPr="002E1027" w:rsidRDefault="0017163F" w:rsidP="0017163F">
      <w:pPr>
        <w:pStyle w:val="Heading3"/>
        <w:rPr>
          <w:szCs w:val="24"/>
        </w:rPr>
      </w:pPr>
      <w:bookmarkStart w:id="30" w:name="_Toc504568051"/>
      <w:bookmarkStart w:id="31" w:name="_Toc521658144"/>
      <w:r>
        <w:t>Az 5. cikk (1) bekezdésének a) pontja: Jogszerűség, tisztességes eljárás és átláthatóság</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t>Az adatkezelés átláthatósága</w:t>
      </w:r>
      <w:r>
        <w:rPr>
          <w:rStyle w:val="FootnoteReference"/>
          <w:rFonts w:ascii="Times New Roman" w:hAnsi="Times New Roman"/>
        </w:rPr>
        <w:footnoteReference w:id="6"/>
      </w:r>
      <w:r>
        <w:rPr>
          <w:rFonts w:ascii="Times New Roman" w:hAnsi="Times New Roman"/>
        </w:rPr>
        <w:t xml:space="preserve"> a GDPR alapvető követelménye.</w:t>
      </w:r>
    </w:p>
    <w:p w:rsidR="0017163F" w:rsidRPr="00213DE8" w:rsidRDefault="0017163F" w:rsidP="00675F9B">
      <w:pPr>
        <w:spacing w:line="240" w:lineRule="auto"/>
        <w:rPr>
          <w:rFonts w:ascii="Times New Roman" w:hAnsi="Times New Roman"/>
        </w:rPr>
      </w:pPr>
      <w:r>
        <w:rPr>
          <w:rFonts w:ascii="Times New Roman" w:hAnsi="Times New Roman"/>
        </w:rPr>
        <w:t>A profilalkotási folyamat gyakran láthatatlan az érintettek számára. Úgy működik, hogy származtatott vagy következtetett adatokat hoznak létre a természetes személyekről – „új” személyes adatokat, amelyeket nem közvetlenül maguk az érintettek bocsátottak rendelkezésre. Az egyének eltérő megértési szinttel rendelkeznek, és előfordulhat, hogy kihívást jelent számukra a profilalkotási és automatizált döntéshozatali folyamatokban fogla</w:t>
      </w:r>
      <w:r w:rsidR="00D8262D">
        <w:rPr>
          <w:rFonts w:ascii="Times New Roman" w:hAnsi="Times New Roman"/>
        </w:rPr>
        <w:t>lt komplex technikák megértése.</w:t>
      </w:r>
    </w:p>
    <w:p w:rsidR="00437F55" w:rsidRPr="00213DE8" w:rsidRDefault="0017163F" w:rsidP="00675F9B">
      <w:pPr>
        <w:spacing w:after="0" w:line="240" w:lineRule="auto"/>
        <w:rPr>
          <w:rFonts w:ascii="Times New Roman" w:hAnsi="Times New Roman"/>
        </w:rPr>
      </w:pPr>
      <w:r>
        <w:rPr>
          <w:rFonts w:ascii="Times New Roman" w:hAnsi="Times New Roman"/>
        </w:rPr>
        <w:t>A 12. cikk (1) bekezdése szerint az adatkezelő a személyes adatai kezelésére vonatkozó tájékoztatást tömör, átlátható, érthető és könnyen hozzáférhető formában, világosan és közérthetően megfogalmazva köteles nyújtani</w:t>
      </w:r>
      <w:r>
        <w:rPr>
          <w:rStyle w:val="FootnoteReference"/>
          <w:rFonts w:ascii="Times New Roman" w:hAnsi="Times New Roman"/>
        </w:rPr>
        <w:footnoteReference w:id="7"/>
      </w:r>
      <w:r>
        <w:t>.</w:t>
      </w:r>
    </w:p>
    <w:p w:rsidR="00675F9B" w:rsidRPr="00213DE8" w:rsidRDefault="00675F9B" w:rsidP="00675F9B">
      <w:pPr>
        <w:spacing w:after="0" w:line="240" w:lineRule="auto"/>
        <w:rPr>
          <w:rFonts w:ascii="Times New Roman" w:hAnsi="Times New Roman"/>
        </w:rPr>
      </w:pPr>
    </w:p>
    <w:p w:rsidR="0017163F" w:rsidRPr="00213DE8" w:rsidRDefault="0017163F" w:rsidP="0017163F">
      <w:pPr>
        <w:pStyle w:val="NormalWeb"/>
        <w:spacing w:after="0"/>
        <w:rPr>
          <w:color w:val="000000"/>
          <w:sz w:val="22"/>
          <w:szCs w:val="22"/>
        </w:rPr>
      </w:pPr>
      <w:r>
        <w:rPr>
          <w:color w:val="000000"/>
          <w:sz w:val="22"/>
        </w:rPr>
        <w:t>A közvetlenül az érintettől gyűjtött adatok esetében ezt a gyűjtés időpontjában kell rendelkezésre bocsátani (13. cikk); a közvetett módon szerzett adatok esetében a tájékoztatást a 14. cikk (3) bekezdésében megadott h</w:t>
      </w:r>
      <w:r w:rsidR="00D8262D">
        <w:rPr>
          <w:color w:val="000000"/>
          <w:sz w:val="22"/>
        </w:rPr>
        <w:t>atáridőkön belül kell megadni.</w:t>
      </w:r>
    </w:p>
    <w:p w:rsidR="0017163F" w:rsidRDefault="0017163F" w:rsidP="0017163F">
      <w:pPr>
        <w:pStyle w:val="NormalWeb"/>
        <w:spacing w:after="0"/>
        <w:jc w:val="both"/>
        <w:rPr>
          <w:color w:val="000000"/>
          <w:sz w:val="22"/>
          <w:szCs w:val="22"/>
        </w:rPr>
      </w:pPr>
    </w:p>
    <w:p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Példa</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Egyes biztosítók az egyén járművezetői magatartása alapján kínálnak biztosítási díjakat és szolgáltatásokat. Az ilyen esetekben figyelembe vett elemek közé tartozhat a megtett távolság, a vezetésre fordított idő és a megtett utazás, valamint az (okos) autóban levő érzékelők által gyűjtött adatok alapján készített előrejelzések. Az összegyűjtött adatokat profilalkotásra használják, hogy azonosítsák a rossz vezetési magatartást (pl. erőteljes gyorsítás, hirtelen fékezés és gyorshajtás). Ezt az információt összevethetik más forrásokkal (például: időjárás, forgalom, út típusa), hogy jobban megérts</w:t>
      </w:r>
      <w:r w:rsidR="00D8262D">
        <w:rPr>
          <w:rFonts w:ascii="Times New Roman" w:hAnsi="Times New Roman"/>
        </w:rPr>
        <w:t>ék a járművezetői magatartást.</w:t>
      </w:r>
    </w:p>
    <w:p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Az adatkezelőnek biztosítania kell, hogy jogszerű alapja legyen az ilyen fajta adatfeldolgozásra. Az adatkezelőnek tájékoztatnia kell az érintettet az összegyűjtött adatokról, és adott esetben arról, hogy sor kerül-e a 22. cikk (1) és (4) bekezdésében említett automatizált döntéshozatalra, az alkalmazott logikáról és az ilyen adatkezelés jelentőségéről</w:t>
      </w:r>
      <w:r w:rsidR="00D8262D">
        <w:rPr>
          <w:rFonts w:ascii="Times New Roman" w:hAnsi="Times New Roman"/>
        </w:rPr>
        <w:t xml:space="preserve"> és várható következményeiről.</w:t>
      </w:r>
    </w:p>
    <w:p w:rsidR="0017163F" w:rsidRDefault="0017163F" w:rsidP="0017163F">
      <w:pPr>
        <w:pStyle w:val="NormalWeb"/>
        <w:rPr>
          <w:color w:val="000000"/>
          <w:sz w:val="22"/>
          <w:szCs w:val="22"/>
        </w:rPr>
      </w:pPr>
      <w:r>
        <w:rPr>
          <w:color w:val="000000"/>
          <w:sz w:val="22"/>
        </w:rPr>
        <w:lastRenderedPageBreak/>
        <w:t xml:space="preserve">Az információra és a személyes adatokhoz való hozzáférésre vonatkozó konkrét követelményeket a </w:t>
      </w:r>
      <w:r>
        <w:rPr>
          <w:sz w:val="22"/>
        </w:rPr>
        <w:t>III. fejezet (D. szakasz)</w:t>
      </w:r>
      <w:r>
        <w:rPr>
          <w:color w:val="000000"/>
          <w:sz w:val="22"/>
        </w:rPr>
        <w:t xml:space="preserve"> és a IV. fejezet </w:t>
      </w:r>
      <w:r>
        <w:rPr>
          <w:sz w:val="22"/>
        </w:rPr>
        <w:t>(E. szakasz) tárgyalja.</w:t>
      </w:r>
    </w:p>
    <w:p w:rsidR="0017163F" w:rsidRPr="003D2458" w:rsidRDefault="0017163F" w:rsidP="0017163F">
      <w:pPr>
        <w:spacing w:after="0" w:line="240" w:lineRule="auto"/>
        <w:rPr>
          <w:rFonts w:ascii="Times New Roman" w:hAnsi="Times New Roman"/>
        </w:rPr>
      </w:pPr>
      <w:r>
        <w:rPr>
          <w:rFonts w:ascii="Times New Roman" w:hAnsi="Times New Roman"/>
        </w:rPr>
        <w:t xml:space="preserve">Az adatkezelésnek emellett tisztességesnek és </w:t>
      </w:r>
      <w:r w:rsidR="00D8262D">
        <w:rPr>
          <w:rFonts w:ascii="Times New Roman" w:hAnsi="Times New Roman"/>
        </w:rPr>
        <w:t>átláthatónak kell lennie.</w:t>
      </w:r>
    </w:p>
    <w:p w:rsidR="0017163F" w:rsidRDefault="0017163F" w:rsidP="0017163F">
      <w:pPr>
        <w:pStyle w:val="NormalWeb"/>
        <w:spacing w:before="240"/>
        <w:rPr>
          <w:sz w:val="22"/>
          <w:szCs w:val="22"/>
        </w:rPr>
      </w:pPr>
      <w:r>
        <w:rPr>
          <w:sz w:val="22"/>
        </w:rPr>
        <w:t>A profilalkotás tisztességtelen lehet és hátrányos megkülönböztetést eredményezhet, ha például megtagadják az emberektől a foglalkoztatási lehetőségekhez, hitelhez vagy biztosításhoz való hozzáférést, vagy ha túlságosan kockázatos és költséges pénzügyi termékekkel veszik őket célba. Az alábbi példa, amely nem felelne meg az 5. cikk (1) bekezdésének a) pontjában meghatározott előírásainak, azt mutatja, hogy a tisztességtelen profilalkotás hogyan vezethet ahhoz, hogy egyes fogyasztóknak kevésbé vonzó ajánlatokat kínálnak, mint másoknak.</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t>Példa</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Egy adatközvetítő</w:t>
      </w:r>
      <w:r>
        <w:rPr>
          <w:rFonts w:ascii="Times New Roman" w:hAnsi="Times New Roman"/>
          <w:b/>
        </w:rPr>
        <w:t xml:space="preserve"> </w:t>
      </w:r>
      <w:r>
        <w:rPr>
          <w:rFonts w:ascii="Times New Roman" w:hAnsi="Times New Roman"/>
        </w:rPr>
        <w:t>fogyasztói profilokat ad el pénzügyi vállalkozásoknak úgy, hogy a fogyasztó erre nem adott engedélyt vagy nem ismeri az alapul szolgáló adatokat. A profilok a fogyasztókat kategóriákba sorolják (olyan címek alatt, mint „Vidékiek, megélhetési gondokkal”, „Etnikai másodlagos városi küszködők”, „Nehéz indulás: Fiatal egyedülálló szülők”) vagy a fogyasztókat gazdaságilag kiszolgáltatott helyzetük</w:t>
      </w:r>
      <w:r w:rsidR="00D8262D">
        <w:rPr>
          <w:rFonts w:ascii="Times New Roman" w:hAnsi="Times New Roman"/>
        </w:rPr>
        <w:t xml:space="preserve">re összpontosítva „pontozzák”. </w:t>
      </w:r>
      <w:r>
        <w:rPr>
          <w:rFonts w:ascii="Times New Roman" w:hAnsi="Times New Roman"/>
        </w:rPr>
        <w:t>A pénzügyi cégek az ilyen fogyasztóknak gyorskölcsönöket és egyéb „nem hagyományos” pénzügyi szolgáltatásokat kínálnak (magas költségű kölcsönök és egyéb, pénzügyileg kockázatos termékek)</w:t>
      </w:r>
      <w:r>
        <w:rPr>
          <w:rStyle w:val="FootnoteReference"/>
          <w:rFonts w:ascii="Times New Roman" w:hAnsi="Times New Roman"/>
        </w:rPr>
        <w:footnoteReference w:id="8"/>
      </w:r>
      <w:r>
        <w:t>.</w:t>
      </w:r>
    </w:p>
    <w:p w:rsidR="00675F9B" w:rsidRPr="00675F9B" w:rsidRDefault="00675F9B" w:rsidP="00675F9B"/>
    <w:p w:rsidR="0017163F" w:rsidRDefault="0017163F" w:rsidP="0017163F">
      <w:pPr>
        <w:pStyle w:val="Heading3"/>
      </w:pPr>
      <w:bookmarkStart w:id="32" w:name="_Toc504568052"/>
      <w:bookmarkStart w:id="33" w:name="_Toc521658145"/>
      <w:r>
        <w:t>Az 5. cikk (1) bekezdésének b) pontja: További adatkezelés és célhoz kötöttség</w:t>
      </w:r>
      <w:bookmarkEnd w:id="32"/>
      <w:bookmarkEnd w:id="33"/>
    </w:p>
    <w:p w:rsidR="00717B4D" w:rsidRDefault="007D2FA4" w:rsidP="0017163F">
      <w:pPr>
        <w:spacing w:line="240" w:lineRule="auto"/>
        <w:jc w:val="both"/>
        <w:rPr>
          <w:rFonts w:ascii="Times New Roman" w:hAnsi="Times New Roman"/>
        </w:rPr>
      </w:pPr>
      <w:r>
        <w:rPr>
          <w:rFonts w:ascii="Times New Roman" w:hAnsi="Times New Roman"/>
        </w:rPr>
        <w:t>A profilalkotás magában foglalhatja eredetileg valamilyen más célból gyűjtött s</w:t>
      </w:r>
      <w:r w:rsidR="00C11764">
        <w:rPr>
          <w:rFonts w:ascii="Times New Roman" w:hAnsi="Times New Roman"/>
        </w:rPr>
        <w:t>zemélyes adatok felhasználását.</w:t>
      </w:r>
    </w:p>
    <w:p w:rsidR="00A911DC" w:rsidRDefault="00A911DC" w:rsidP="0017163F">
      <w:pPr>
        <w:spacing w:line="240" w:lineRule="auto"/>
        <w:jc w:val="both"/>
        <w:rPr>
          <w:rFonts w:ascii="Times New Roman" w:hAnsi="Times New Roman"/>
        </w:rPr>
      </w:pPr>
    </w:p>
    <w:p w:rsidR="0017163F" w:rsidRPr="00432952" w:rsidRDefault="00C11764"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Példa</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Néhány mobilalkalmazás helymeghatározási szolgáltatást kínál, ami lehetővé teszi a felhasználó számára, hogy kedvezményeket kínáló közeli éttermeket találjon. A gyűjtött adatokat azonban felhasználják az érintett marketing céljára szolgáló profiljának elkészítéséhez is, hogy azonosítsák az étkezési szokásait vagy általában az életmódját. Az érintett arra számít, hogy az adatait éttermek keresésére fogják felhasználni, és nem arra, hogy pizza-házhozszállítási reklámokat kapjon csak azért, mert az alkalmazás megállapította, hogy későn ér haza. A helymeghatározási adatok ilyen további felhasználása nem egyeztethető az adatgyűjtés eredeti céljával, és ezért az érintett személy hozzájárulása szükséges hozzá</w:t>
      </w:r>
      <w:r>
        <w:rPr>
          <w:rStyle w:val="FootnoteReference"/>
          <w:rFonts w:ascii="Times New Roman" w:hAnsi="Times New Roman"/>
        </w:rPr>
        <w:footnoteReference w:id="9"/>
      </w:r>
      <w:r>
        <w:t>.</w:t>
      </w:r>
    </w:p>
    <w:p w:rsidR="0017163F" w:rsidRDefault="0017163F" w:rsidP="0017163F">
      <w:pPr>
        <w:spacing w:line="240" w:lineRule="auto"/>
        <w:rPr>
          <w:rFonts w:ascii="Times New Roman" w:hAnsi="Times New Roman"/>
        </w:rPr>
      </w:pPr>
      <w:r>
        <w:rPr>
          <w:rFonts w:ascii="Times New Roman" w:hAnsi="Times New Roman"/>
        </w:rPr>
        <w:lastRenderedPageBreak/>
        <w:t>Az, hogy ez a további adatkezelés összeegyeztethető-e az adatgyűjtés eredeti céljával, számos tényezőtől</w:t>
      </w:r>
      <w:r>
        <w:rPr>
          <w:rStyle w:val="FootnoteReference"/>
          <w:rFonts w:ascii="Times New Roman" w:hAnsi="Times New Roman"/>
        </w:rPr>
        <w:footnoteReference w:id="10"/>
      </w:r>
      <w:r>
        <w:rPr>
          <w:rFonts w:ascii="Times New Roman" w:hAnsi="Times New Roman"/>
        </w:rPr>
        <w:t xml:space="preserve"> függ, beleértve azt is, hogy az adatkezelő eredetileg milyen tájékoztatást adott az érintettnek. Ezek a tényezők tükröződnek a GDPR-ben</w:t>
      </w:r>
      <w:r>
        <w:rPr>
          <w:rStyle w:val="FootnoteReference"/>
          <w:rFonts w:ascii="Times New Roman" w:hAnsi="Times New Roman"/>
        </w:rPr>
        <w:footnoteReference w:id="11"/>
      </w:r>
      <w:r>
        <w:rPr>
          <w:rFonts w:ascii="Times New Roman" w:hAnsi="Times New Roman"/>
        </w:rPr>
        <w:t>, és az</w:t>
      </w:r>
      <w:r w:rsidR="00C11764">
        <w:rPr>
          <w:rFonts w:ascii="Times New Roman" w:hAnsi="Times New Roman"/>
        </w:rPr>
        <w:t xml:space="preserve"> alábbiakban foglalhatók össze:</w:t>
      </w:r>
    </w:p>
    <w:p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az adatok gyűjtésének céljai és a további adatkezelés céljai közötti esetleges kapcsolat;</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az adatok gyűjtésének körülményei és az érintettek észszerű várakozásai azok további felhasználásáról;</w:t>
      </w:r>
    </w:p>
    <w:p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az adatok jellege;</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a további adatkezelés hatása az érintettekre; valamint</w:t>
      </w:r>
    </w:p>
    <w:p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az adatkezelő által a tisztességes adatkezelés biztosítása és az érintetteket érintő indokolatlan hatások megelőzése érdekében alkalmazott garanciák.</w:t>
      </w:r>
    </w:p>
    <w:p w:rsidR="0017163F" w:rsidRPr="004F1F21" w:rsidRDefault="0017163F" w:rsidP="0017163F">
      <w:pPr>
        <w:pStyle w:val="Heading3"/>
      </w:pPr>
      <w:bookmarkStart w:id="34" w:name="_Toc504568053"/>
      <w:bookmarkStart w:id="35" w:name="_Toc521658146"/>
      <w:r>
        <w:t>Az 5. cikk (1) bekezdésének c) pontja: Adattakarékosság</w:t>
      </w:r>
      <w:bookmarkEnd w:id="34"/>
      <w:bookmarkEnd w:id="35"/>
    </w:p>
    <w:p w:rsidR="009639C5" w:rsidRDefault="0017163F" w:rsidP="009639C5">
      <w:pPr>
        <w:spacing w:line="240" w:lineRule="auto"/>
        <w:rPr>
          <w:rFonts w:ascii="Times New Roman" w:hAnsi="Times New Roman"/>
        </w:rPr>
      </w:pPr>
      <w:r>
        <w:rPr>
          <w:rFonts w:ascii="Times New Roman" w:hAnsi="Times New Roman"/>
        </w:rPr>
        <w:t>A profilalkotás révén teremtett üzleti lehetőségek, olcsóbb tárolási költségek és a nagy mennyiségű információ feldolgozására való képesség arra bátoríthatja a szervezeteket, hogy több személyes adatot gyűjtsenek, mint amennyi valójában szükséges, feltételezve, hogy ez hasznosnak bizonyulhat a jövőben. Az adatkezelőknek biztosítaniuk kell, hogy betartják az adattakarékosság elvét, valamint a célhoz kötöttség követelményét és a tárolási időkorlá</w:t>
      </w:r>
      <w:r w:rsidR="00C11764">
        <w:rPr>
          <w:rFonts w:ascii="Times New Roman" w:hAnsi="Times New Roman"/>
        </w:rPr>
        <w:t>tozás elveit.</w:t>
      </w:r>
    </w:p>
    <w:p w:rsidR="009639C5" w:rsidRDefault="0017163F" w:rsidP="009639C5">
      <w:pPr>
        <w:spacing w:line="240" w:lineRule="auto"/>
        <w:rPr>
          <w:rFonts w:ascii="Times New Roman" w:hAnsi="Times New Roman"/>
        </w:rPr>
      </w:pPr>
      <w:r>
        <w:rPr>
          <w:rFonts w:ascii="Times New Roman" w:hAnsi="Times New Roman"/>
        </w:rPr>
        <w:t>Az adatkezelőknek képesnek kell lenniük arra, hogy világosan megmagyarázzák és indokolják, hogy miért van szükség a személyes adatokat gyűjtésére és tárolására, vagy pedig fontolóra kell venniük, hogy a profilalkotáshoz összesített, anonimizált vagy (ha ez elegendő védelmet biztosít) álne</w:t>
      </w:r>
      <w:r w:rsidR="00C11764">
        <w:rPr>
          <w:rFonts w:ascii="Times New Roman" w:hAnsi="Times New Roman"/>
        </w:rPr>
        <w:t>vesített adatokat használjanak.</w:t>
      </w:r>
    </w:p>
    <w:p w:rsidR="0017163F" w:rsidRDefault="0017163F" w:rsidP="0017163F">
      <w:pPr>
        <w:spacing w:line="240" w:lineRule="auto"/>
        <w:rPr>
          <w:rFonts w:ascii="Times New Roman" w:hAnsi="Times New Roman"/>
        </w:rPr>
      </w:pPr>
    </w:p>
    <w:p w:rsidR="0017163F" w:rsidRPr="004F1F21" w:rsidRDefault="0017163F" w:rsidP="0017163F">
      <w:pPr>
        <w:pStyle w:val="Heading3"/>
      </w:pPr>
      <w:bookmarkStart w:id="36" w:name="_Toc504568054"/>
      <w:bookmarkStart w:id="37" w:name="_Toc521658147"/>
      <w:r>
        <w:t>Az 5. cikk (1) bekezdésének d) pontja: Pontosság</w:t>
      </w:r>
      <w:bookmarkEnd w:id="36"/>
      <w:bookmarkEnd w:id="37"/>
    </w:p>
    <w:p w:rsidR="0017163F" w:rsidRDefault="0017163F" w:rsidP="0017163F">
      <w:pPr>
        <w:spacing w:line="240" w:lineRule="auto"/>
        <w:jc w:val="both"/>
        <w:rPr>
          <w:rFonts w:ascii="Times New Roman" w:hAnsi="Times New Roman"/>
        </w:rPr>
      </w:pPr>
      <w:r>
        <w:rPr>
          <w:rFonts w:ascii="Times New Roman" w:hAnsi="Times New Roman"/>
        </w:rPr>
        <w:t>Az adatkezelőknek a pontosságot a profilalkotás folyamatának minden szakaszában figyelembe kell venniük, különösen, amikor:</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adatokat gyűjtenek;</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adatokat elemeznek;</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természetes személyről profilt alkotnak; vagy</w:t>
      </w:r>
    </w:p>
    <w:p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 profilt a természetes személyt érintő döntéshozatalhoz használják.</w:t>
      </w:r>
    </w:p>
    <w:p w:rsidR="0017163F" w:rsidRDefault="0017163F" w:rsidP="0017163F">
      <w:pPr>
        <w:spacing w:line="240" w:lineRule="auto"/>
        <w:rPr>
          <w:rFonts w:ascii="Times New Roman" w:hAnsi="Times New Roman"/>
          <w:bCs/>
        </w:rPr>
      </w:pPr>
      <w:r>
        <w:rPr>
          <w:rFonts w:ascii="Times New Roman" w:hAnsi="Times New Roman"/>
        </w:rPr>
        <w:t>Ha az automatizált döntéshozatali vagy profilalkotási folyamatban felhasznált adatok pontatlanok, az azokon alapuló bármilyen döntés vagy profil helytelen lesz. Előfordulhat, hogy a döntéseket elavult adatok alapján vagy a külső adatok téves értelmezése alapján hozzák. A pontatlanságok azzal járhatnak, hogy nem megfelelő előrejelzéseket vagy megállapításokat tesznek az egészségi állapotra vagy a hitel- vagy bizt</w:t>
      </w:r>
      <w:r w:rsidR="00C11764">
        <w:rPr>
          <w:rFonts w:ascii="Times New Roman" w:hAnsi="Times New Roman"/>
        </w:rPr>
        <w:t>osítási kockázatra vonatkozóan.</w:t>
      </w:r>
    </w:p>
    <w:p w:rsidR="0017163F" w:rsidRDefault="00A911DC" w:rsidP="0017163F">
      <w:pPr>
        <w:spacing w:line="240" w:lineRule="auto"/>
        <w:rPr>
          <w:rFonts w:ascii="Times New Roman" w:hAnsi="Times New Roman"/>
        </w:rPr>
      </w:pPr>
      <w:r>
        <w:rPr>
          <w:rFonts w:ascii="Times New Roman" w:hAnsi="Times New Roman"/>
        </w:rPr>
        <w:t>Még ha a nyers adatokat pontosan is rögzítik, lehet, hogy az adathalmaz nem teljesen reprezentatív vagy az analiti</w:t>
      </w:r>
      <w:r w:rsidR="00C11764">
        <w:rPr>
          <w:rFonts w:ascii="Times New Roman" w:hAnsi="Times New Roman"/>
        </w:rPr>
        <w:t>ka rejtett torzítást tartalmaz.</w:t>
      </w:r>
    </w:p>
    <w:p w:rsidR="0017163F" w:rsidRDefault="0017163F" w:rsidP="0017163F">
      <w:pPr>
        <w:spacing w:line="240" w:lineRule="auto"/>
        <w:rPr>
          <w:rFonts w:ascii="Times New Roman" w:hAnsi="Times New Roman"/>
        </w:rPr>
      </w:pPr>
      <w:r>
        <w:rPr>
          <w:rFonts w:ascii="Times New Roman" w:hAnsi="Times New Roman"/>
        </w:rPr>
        <w:t xml:space="preserve">Az adatkezelők erőteljes intézkedéseket kötelesek bevezetni annak folyamatos ellenőrzésére és biztosítására, hogy az újra felhasznált vagy közvetve szerzett adatok pontosak és naprakészek </w:t>
      </w:r>
      <w:r>
        <w:rPr>
          <w:rFonts w:ascii="Times New Roman" w:hAnsi="Times New Roman"/>
        </w:rPr>
        <w:lastRenderedPageBreak/>
        <w:t xml:space="preserve">legyenek. Ez megerősíti annak fontosságát, hogy egyértelmű tájékoztatást kell adni a kezelt személyes adatokról annak érdekében, hogy az érintett helyesbíthesse az esetleges hibákat és hogy </w:t>
      </w:r>
      <w:r w:rsidR="00C11764">
        <w:rPr>
          <w:rFonts w:ascii="Times New Roman" w:hAnsi="Times New Roman"/>
        </w:rPr>
        <w:t>javíthassa az adatok minőségét.</w:t>
      </w:r>
    </w:p>
    <w:p w:rsidR="0017163F" w:rsidRDefault="0017163F" w:rsidP="0017163F">
      <w:pPr>
        <w:pStyle w:val="Heading3"/>
      </w:pPr>
      <w:bookmarkStart w:id="38" w:name="_Toc504568055"/>
      <w:bookmarkStart w:id="39" w:name="_Toc521658148"/>
      <w:r>
        <w:t>Az 5. cikk (1) bekezdésének e) pontja: Korlátozott tárolhatóság</w:t>
      </w:r>
      <w:bookmarkEnd w:id="38"/>
      <w:bookmarkEnd w:id="39"/>
    </w:p>
    <w:p w:rsidR="00EA4668" w:rsidRDefault="0017163F" w:rsidP="0017163F">
      <w:pPr>
        <w:spacing w:line="240" w:lineRule="auto"/>
        <w:rPr>
          <w:rFonts w:ascii="Times New Roman" w:hAnsi="Times New Roman"/>
        </w:rPr>
      </w:pPr>
      <w:r>
        <w:rPr>
          <w:rFonts w:ascii="Times New Roman" w:hAnsi="Times New Roman"/>
        </w:rPr>
        <w:t>A gépi tanulási algoritmusokat arra tervezik, hogy nagy mennyiségű információt dolgozzanak fel és olyan összefüggéseket állapítsanak meg, amelyek lehetővé teszik a szervezetek számára, hogy az egyénekről nagyon átfogó, intim profilokat alakítsanak ki. Jóllehet profilalkotás esetén lehetnek előnyei az adatok megőrzésének, hiszen így több adat áll rendelkezésre, amiből az algoritmus tanulhat, az adatkezelőknek meg kell felelniük az adattakarékosság elvének a személyes adatokat gyűjtése során, és biztosítaniuk kell, hogy az ilyen személyes adatokat nem őrzik hosszabb ideig, mint amennyi a személyes adatok kezelésének céljaiho</w:t>
      </w:r>
      <w:r w:rsidR="00C11764">
        <w:rPr>
          <w:rFonts w:ascii="Times New Roman" w:hAnsi="Times New Roman"/>
        </w:rPr>
        <w:t>z szükséges és azokkal arányos.</w:t>
      </w:r>
    </w:p>
    <w:p w:rsidR="00F3027A" w:rsidRDefault="00F3027A" w:rsidP="0017163F">
      <w:pPr>
        <w:spacing w:line="240" w:lineRule="auto"/>
        <w:rPr>
          <w:rFonts w:ascii="Times New Roman" w:hAnsi="Times New Roman"/>
        </w:rPr>
      </w:pPr>
      <w:r>
        <w:rPr>
          <w:rFonts w:ascii="Times New Roman" w:hAnsi="Times New Roman"/>
        </w:rPr>
        <w:t>Az adatkezelő adattárolási szabályzatának figyelembe kell vennie az érintettek jogait és szabadságait, összhangban az 5. cikk (1) bekezdése e) pontjának követelményeivel.</w:t>
      </w:r>
    </w:p>
    <w:p w:rsidR="000E7F06" w:rsidRDefault="00F3027A" w:rsidP="00F3027A">
      <w:pPr>
        <w:spacing w:line="240" w:lineRule="auto"/>
        <w:rPr>
          <w:rFonts w:ascii="Times New Roman" w:hAnsi="Times New Roman"/>
        </w:rPr>
      </w:pPr>
      <w:r>
        <w:rPr>
          <w:rFonts w:ascii="Times New Roman" w:hAnsi="Times New Roman"/>
        </w:rPr>
        <w:t>Az adatkezelőnek meg kell győződnie arról is, hogy az adatokat a tárolási idő alatt folyamatosan frissítik a pontatlanságok kockázatának csökkentése érdekében</w:t>
      </w:r>
      <w:r>
        <w:rPr>
          <w:rStyle w:val="FootnoteReference"/>
          <w:rFonts w:ascii="Times New Roman" w:hAnsi="Times New Roman"/>
        </w:rPr>
        <w:footnoteReference w:id="12"/>
      </w:r>
      <w:r>
        <w:t>.</w:t>
      </w:r>
    </w:p>
    <w:p w:rsidR="00326915" w:rsidRDefault="00326915" w:rsidP="00DD5A64">
      <w:pPr>
        <w:spacing w:line="240" w:lineRule="auto"/>
        <w:rPr>
          <w:rFonts w:ascii="Times New Roman" w:hAnsi="Times New Roman"/>
        </w:rPr>
      </w:pPr>
    </w:p>
    <w:p w:rsidR="00DD5A64" w:rsidRDefault="00DE0D09" w:rsidP="00DD5A64">
      <w:pPr>
        <w:pStyle w:val="Heading2"/>
      </w:pPr>
      <w:bookmarkStart w:id="40" w:name="_Toc504568056"/>
      <w:bookmarkStart w:id="41" w:name="_Toc521658149"/>
      <w:r>
        <w:t>Az adatkezelés jogalapja</w:t>
      </w:r>
      <w:bookmarkEnd w:id="40"/>
      <w:bookmarkEnd w:id="41"/>
    </w:p>
    <w:p w:rsidR="00DD5A64" w:rsidRPr="00E00F87" w:rsidRDefault="00AC2052" w:rsidP="00363305">
      <w:pPr>
        <w:spacing w:line="240" w:lineRule="auto"/>
      </w:pPr>
      <w:r>
        <w:rPr>
          <w:rFonts w:ascii="Times New Roman" w:hAnsi="Times New Roman"/>
        </w:rPr>
        <w:t>A 22. cikk (1) bekezdésében meghatározott automatizált döntéshozatal csak akkor megengedett, ha a IV. fejezetben (C. és D. szakaszok) ismertetett kivételek egyike fennáll. A következő jogszerű adatkezelési alapok minden egyéb automatizált egyedi döntéshozatalra és profilalkotásra vonatkoznak.</w:t>
      </w:r>
    </w:p>
    <w:p w:rsidR="001752A2" w:rsidRPr="004F1F21" w:rsidRDefault="001752A2" w:rsidP="004330CF">
      <w:pPr>
        <w:pStyle w:val="Heading3"/>
      </w:pPr>
      <w:bookmarkStart w:id="42" w:name="_Article_6(1)_(a)"/>
      <w:bookmarkStart w:id="43" w:name="_Toc504568057"/>
      <w:bookmarkStart w:id="44" w:name="_Toc521658150"/>
      <w:bookmarkEnd w:id="42"/>
      <w:r>
        <w:t>A 6. cikk (1) bekezdésének a) pontja: hozzájárulás</w:t>
      </w:r>
      <w:bookmarkEnd w:id="43"/>
      <w:bookmarkEnd w:id="44"/>
    </w:p>
    <w:p w:rsidR="00D41FA9" w:rsidRDefault="00D41FA9" w:rsidP="004457ED">
      <w:pPr>
        <w:spacing w:line="240" w:lineRule="auto"/>
        <w:rPr>
          <w:rFonts w:ascii="Times New Roman" w:hAnsi="Times New Roman"/>
        </w:rPr>
      </w:pPr>
      <w:r>
        <w:rPr>
          <w:rFonts w:ascii="Times New Roman" w:hAnsi="Times New Roman"/>
        </w:rPr>
        <w:t>A hozzájárulással mint az adatkezelés jogalapjával a WP29 hozzájárulással kapcsolatos iránymutatása foglalkozik</w:t>
      </w:r>
      <w:r>
        <w:rPr>
          <w:rStyle w:val="FootnoteReference"/>
          <w:rFonts w:ascii="Times New Roman" w:hAnsi="Times New Roman"/>
        </w:rPr>
        <w:footnoteReference w:id="13"/>
      </w:r>
      <w:r>
        <w:t>.</w:t>
      </w:r>
      <w:r>
        <w:rPr>
          <w:rFonts w:ascii="Times New Roman" w:hAnsi="Times New Roman"/>
        </w:rPr>
        <w:t xml:space="preserve"> A kifejezett hozzájárulás az egyik kivétel a 22. cikk (1) bekezdésében az automatizált döntéshozatalra és profilalkotásra vonatkozóan meghatározott tilalom alól.</w:t>
      </w:r>
    </w:p>
    <w:p w:rsidR="001752A2" w:rsidRPr="00982F8C" w:rsidRDefault="001752A2" w:rsidP="004457ED">
      <w:pPr>
        <w:spacing w:line="240" w:lineRule="auto"/>
        <w:rPr>
          <w:rFonts w:ascii="Times New Roman" w:hAnsi="Times New Roman"/>
        </w:rPr>
      </w:pPr>
      <w:r>
        <w:rPr>
          <w:rFonts w:ascii="Times New Roman" w:hAnsi="Times New Roman"/>
        </w:rPr>
        <w:t>A profilalkotás lehet homályos. Gyakran olyan adatokra támaszkodik, amelyeket más adatokból származtattak vagy következtettek ki, nem pedig a közvetlenül az érin</w:t>
      </w:r>
      <w:r w:rsidR="00C11764">
        <w:rPr>
          <w:rFonts w:ascii="Times New Roman" w:hAnsi="Times New Roman"/>
        </w:rPr>
        <w:t>tettek által megadott adatokra.</w:t>
      </w:r>
    </w:p>
    <w:p w:rsidR="001752A2" w:rsidRDefault="001752A2" w:rsidP="00DD1E01">
      <w:pPr>
        <w:spacing w:line="240" w:lineRule="auto"/>
        <w:rPr>
          <w:rFonts w:ascii="Times New Roman" w:hAnsi="Times New Roman"/>
        </w:rPr>
      </w:pPr>
      <w:r>
        <w:rPr>
          <w:rFonts w:ascii="Times New Roman" w:hAnsi="Times New Roman"/>
        </w:rPr>
        <w:t>Azoknak az adatkezelőknek, akik a hozzájárulásra kívánnak támaszkodni a profilalkotás alapjaként, képesnek kell lenniük igazolni, hogy az érintettek pontosan értik, mihez járulnak hozzá, és emlékezniük kell arra, hogy a hozzájárulás nem mindig megfelelő alap az adatkezelésre</w:t>
      </w:r>
      <w:r>
        <w:rPr>
          <w:rStyle w:val="FootnoteReference"/>
          <w:rFonts w:ascii="Times New Roman" w:hAnsi="Times New Roman"/>
        </w:rPr>
        <w:footnoteReference w:id="14"/>
      </w:r>
      <w:r>
        <w:t>.</w:t>
      </w:r>
      <w:r>
        <w:rPr>
          <w:rFonts w:ascii="Times New Roman" w:hAnsi="Times New Roman"/>
        </w:rPr>
        <w:t xml:space="preserve"> Az érintetteknek minden esetben elegendő releváns tájékoztatást kell kapniuk a tervezett felhasználásról és az adatkezelés következményeiről annak érdekében, hogy az általuk adott hozzájárulás</w:t>
      </w:r>
      <w:r w:rsidR="00C11764">
        <w:rPr>
          <w:rFonts w:ascii="Times New Roman" w:hAnsi="Times New Roman"/>
        </w:rPr>
        <w:t xml:space="preserve"> tájékozott döntésen alapuljon.</w:t>
      </w:r>
    </w:p>
    <w:p w:rsidR="0010224C" w:rsidRPr="001752A2" w:rsidRDefault="0010224C" w:rsidP="00617EC0">
      <w:pPr>
        <w:spacing w:after="0" w:line="240" w:lineRule="auto"/>
        <w:jc w:val="both"/>
        <w:rPr>
          <w:rFonts w:ascii="Times New Roman" w:hAnsi="Times New Roman"/>
        </w:rPr>
      </w:pPr>
    </w:p>
    <w:p w:rsidR="001752A2" w:rsidRPr="004330CF" w:rsidRDefault="001752A2" w:rsidP="004330CF">
      <w:pPr>
        <w:pStyle w:val="Heading3"/>
      </w:pPr>
      <w:bookmarkStart w:id="45" w:name="_Article_6(1)_(b)"/>
      <w:bookmarkStart w:id="46" w:name="_Toc504568058"/>
      <w:bookmarkStart w:id="47" w:name="_Toc521658151"/>
      <w:bookmarkEnd w:id="45"/>
      <w:r>
        <w:lastRenderedPageBreak/>
        <w:t>A 6. cikk (1) bekezdésének b) pontja – szerződés teljesítéséhez szükséges</w:t>
      </w:r>
      <w:bookmarkEnd w:id="46"/>
      <w:bookmarkEnd w:id="47"/>
    </w:p>
    <w:p w:rsidR="00A8763B" w:rsidRDefault="00A8763B" w:rsidP="00A8763B">
      <w:pPr>
        <w:spacing w:after="0" w:line="240" w:lineRule="auto"/>
        <w:rPr>
          <w:rFonts w:ascii="Times New Roman" w:hAnsi="Times New Roman"/>
        </w:rPr>
      </w:pPr>
      <w:r>
        <w:rPr>
          <w:rFonts w:ascii="Times New Roman" w:hAnsi="Times New Roman"/>
        </w:rPr>
        <w:t>Az adatkezelők azért alkalmazzák a profilalkotási és automatizált döntéshozatali folyamatokat, mert azok:</w:t>
      </w:r>
    </w:p>
    <w:p w:rsidR="00A8763B" w:rsidRDefault="00A8763B" w:rsidP="00A8763B">
      <w:pPr>
        <w:spacing w:after="0" w:line="240" w:lineRule="auto"/>
        <w:rPr>
          <w:rFonts w:ascii="Times New Roman" w:hAnsi="Times New Roman"/>
        </w:rPr>
      </w:pP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potenciálisan nagyobb következetességet vagy méltányosságot tesznek lehetővé a döntéshozatali folyamatban (pl. csökkentve az esetleges emberi hibát, a megkülönböztetést és a hatalommal való visszaélést);</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csökkentik annak kockázatát, hogy a vevők nem fizetnek az árukért vagy szolgáltatásokért (például hitelképességi referencia alkalmazása esetén); va</w:t>
      </w:r>
      <w:r w:rsidR="00C11764">
        <w:rPr>
          <w:rFonts w:ascii="Times New Roman" w:hAnsi="Times New Roman"/>
        </w:rPr>
        <w:t>gy</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lehetővé teszik számukra, hogy rövidebb idő alatt hozzanak döntések</w:t>
      </w:r>
      <w:r w:rsidR="00C11764">
        <w:rPr>
          <w:rFonts w:ascii="Times New Roman" w:hAnsi="Times New Roman"/>
        </w:rPr>
        <w:t>et és növeljék a hatékonyságot.</w:t>
      </w:r>
    </w:p>
    <w:p w:rsidR="00A8763B" w:rsidRPr="00421A1D" w:rsidRDefault="00A8763B" w:rsidP="00A8763B">
      <w:pPr>
        <w:pStyle w:val="ListParagraph"/>
        <w:spacing w:after="0" w:line="240" w:lineRule="auto"/>
        <w:jc w:val="both"/>
        <w:rPr>
          <w:rFonts w:ascii="Times New Roman" w:hAnsi="Times New Roman"/>
        </w:rPr>
      </w:pPr>
    </w:p>
    <w:p w:rsidR="00A8763B" w:rsidRDefault="00A8763B" w:rsidP="00A8763B">
      <w:pPr>
        <w:spacing w:after="0" w:line="240" w:lineRule="auto"/>
        <w:rPr>
          <w:rFonts w:ascii="Times New Roman" w:hAnsi="Times New Roman"/>
        </w:rPr>
      </w:pPr>
      <w:r>
        <w:rPr>
          <w:rFonts w:ascii="Times New Roman" w:hAnsi="Times New Roman"/>
        </w:rPr>
        <w:t>A fentiektől függetlenül ezek a megfontolások önmagukban nem elegendőek annak bizonyítására, hogy az ilyen típusú adatkezelés</w:t>
      </w:r>
      <w:r>
        <w:rPr>
          <w:rFonts w:ascii="Times New Roman" w:hAnsi="Times New Roman"/>
          <w:i/>
        </w:rPr>
        <w:t xml:space="preserve"> szükséges </w:t>
      </w:r>
      <w:r>
        <w:rPr>
          <w:rFonts w:ascii="Times New Roman" w:hAnsi="Times New Roman"/>
        </w:rPr>
        <w:t>a szerződés teljesítéséhez a 6. cikk (1) bekezdés b) pont alapján. Amint azt a WP29 jogos érdekről szóló véleménye leírja</w:t>
      </w:r>
      <w:r>
        <w:rPr>
          <w:rStyle w:val="FootnoteReference"/>
          <w:rFonts w:ascii="Times New Roman" w:hAnsi="Times New Roman"/>
        </w:rPr>
        <w:footnoteReference w:id="15"/>
      </w:r>
      <w:r>
        <w:rPr>
          <w:rFonts w:ascii="Times New Roman" w:hAnsi="Times New Roman"/>
        </w:rPr>
        <w:t>, a szükségességet megszorítóan kell értelmezni.</w:t>
      </w:r>
    </w:p>
    <w:p w:rsidR="00A8763B" w:rsidRDefault="00A8763B" w:rsidP="00A8763B">
      <w:pPr>
        <w:spacing w:after="0" w:line="240" w:lineRule="auto"/>
        <w:rPr>
          <w:rFonts w:ascii="Times New Roman" w:hAnsi="Times New Roman"/>
        </w:rPr>
      </w:pPr>
    </w:p>
    <w:p w:rsidR="001752A2" w:rsidRDefault="00F546ED" w:rsidP="00A8763B">
      <w:pPr>
        <w:spacing w:after="0" w:line="240" w:lineRule="auto"/>
        <w:rPr>
          <w:rFonts w:ascii="Times New Roman" w:hAnsi="Times New Roman"/>
        </w:rPr>
      </w:pPr>
      <w:r>
        <w:rPr>
          <w:rFonts w:ascii="Times New Roman" w:hAnsi="Times New Roman"/>
        </w:rPr>
        <w:t xml:space="preserve">Az alábbi egy olyan példa az olyan profilalkotásra, amely </w:t>
      </w:r>
      <w:r>
        <w:rPr>
          <w:rFonts w:ascii="Times New Roman" w:hAnsi="Times New Roman"/>
          <w:i/>
        </w:rPr>
        <w:t xml:space="preserve">nem </w:t>
      </w:r>
      <w:r>
        <w:rPr>
          <w:rFonts w:ascii="Times New Roman" w:hAnsi="Times New Roman"/>
        </w:rPr>
        <w:t>felel meg a 6. cikk (1) bekezdésének b) pontja sz</w:t>
      </w:r>
      <w:r w:rsidR="00C11764">
        <w:rPr>
          <w:rFonts w:ascii="Times New Roman" w:hAnsi="Times New Roman"/>
        </w:rPr>
        <w:t>erinti adatkezelési jogalapnak.</w:t>
      </w:r>
    </w:p>
    <w:p w:rsidR="00B83992" w:rsidRPr="00F546ED" w:rsidRDefault="00B83992" w:rsidP="00F546ED">
      <w:pPr>
        <w:spacing w:after="0" w:line="240" w:lineRule="auto"/>
        <w:rPr>
          <w:rFonts w:ascii="Times New Roman" w:hAnsi="Times New Roman"/>
        </w:rPr>
      </w:pP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Példa</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A felhasználó néhány tételt vásárol egy online kiskereskedőtől. A szerződés teljesítése érdekében a kiskereskedőnek kezelnie kell a felhasználó hitelkártya-adatait a fizetés céljából, valamint a felhasználó címét, hogy kiszállítsa az árut. A szerződés teljesítése nem függ attól, hogy felhasználóról a weboldalon tett látogatásai alapján az ízlésére és életmódjára vonatkozó profilt alkotnak. Még ha a profilalkotást a szerződés apró betűs része kifejezetten említi is, ez a tény önmagában nem teszi azt „szükséges</w:t>
      </w:r>
      <w:r w:rsidR="00C11764">
        <w:rPr>
          <w:rFonts w:ascii="Times New Roman" w:hAnsi="Times New Roman"/>
        </w:rPr>
        <w:t>sé” a szerződés teljesítéséhez.</w:t>
      </w:r>
    </w:p>
    <w:p w:rsidR="00B83992" w:rsidRDefault="00B83992" w:rsidP="00B83992">
      <w:pPr>
        <w:pStyle w:val="Heading3"/>
        <w:numPr>
          <w:ilvl w:val="0"/>
          <w:numId w:val="0"/>
        </w:numPr>
        <w:spacing w:before="0"/>
        <w:ind w:left="1440"/>
      </w:pPr>
    </w:p>
    <w:p w:rsidR="001752A2" w:rsidRPr="004F1F21" w:rsidRDefault="001752A2" w:rsidP="004330CF">
      <w:pPr>
        <w:pStyle w:val="Heading3"/>
      </w:pPr>
      <w:bookmarkStart w:id="48" w:name="_Toc504568059"/>
      <w:bookmarkStart w:id="49" w:name="_Toc521658152"/>
      <w:r>
        <w:t>A 6. cikk (1) bekezdésének c) pontja – jogi kötelezettség teljesítéséhez szükséges</w:t>
      </w:r>
      <w:bookmarkEnd w:id="48"/>
      <w:bookmarkEnd w:id="49"/>
    </w:p>
    <w:p w:rsidR="00B83992" w:rsidRDefault="001752A2" w:rsidP="00FD0016">
      <w:pPr>
        <w:spacing w:line="240" w:lineRule="auto"/>
        <w:rPr>
          <w:rFonts w:ascii="Times New Roman" w:hAnsi="Times New Roman"/>
        </w:rPr>
      </w:pPr>
      <w:r>
        <w:rPr>
          <w:rFonts w:ascii="Times New Roman" w:hAnsi="Times New Roman"/>
        </w:rPr>
        <w:t>Előfordulhatnak olyan esetek, ahol jogi kötelezettség</w:t>
      </w:r>
      <w:r>
        <w:rPr>
          <w:rStyle w:val="FootnoteReference"/>
          <w:rFonts w:ascii="Times New Roman" w:hAnsi="Times New Roman"/>
        </w:rPr>
        <w:footnoteReference w:id="16"/>
      </w:r>
      <w:r>
        <w:rPr>
          <w:rFonts w:ascii="Times New Roman" w:hAnsi="Times New Roman"/>
        </w:rPr>
        <w:t xml:space="preserve"> áll fenn a profilalkotásra, például csalások vagy pénzmosás megelőzésével kapcsolatban. A WP29 jogos érdekről szóló véleménye</w:t>
      </w:r>
      <w:r>
        <w:rPr>
          <w:rStyle w:val="FootnoteReference"/>
          <w:rFonts w:ascii="Times New Roman" w:hAnsi="Times New Roman"/>
        </w:rPr>
        <w:footnoteReference w:id="17"/>
      </w:r>
      <w:r>
        <w:rPr>
          <w:rFonts w:ascii="Times New Roman" w:hAnsi="Times New Roman"/>
        </w:rPr>
        <w:t xml:space="preserve"> hasznos tudnivalókkal szolgál az adatkezelés ezen jogalapjáról, ideértve az alkalmazandó garanciákat.</w:t>
      </w:r>
    </w:p>
    <w:p w:rsidR="001752A2" w:rsidRDefault="001752A2" w:rsidP="004330CF">
      <w:pPr>
        <w:pStyle w:val="Heading3"/>
      </w:pPr>
      <w:bookmarkStart w:id="50" w:name="_Toc504568060"/>
      <w:bookmarkStart w:id="51" w:name="_Toc521658153"/>
      <w:r>
        <w:t>A 6. cikk (1) bekezdésének d) pontja – létfontosságú érdekek védelméhez szükséges</w:t>
      </w:r>
      <w:bookmarkEnd w:id="50"/>
      <w:bookmarkEnd w:id="51"/>
    </w:p>
    <w:p w:rsidR="001A0C04" w:rsidRDefault="000F0EDA" w:rsidP="00052332">
      <w:pPr>
        <w:spacing w:after="0" w:line="240" w:lineRule="auto"/>
        <w:rPr>
          <w:rFonts w:ascii="Times New Roman" w:hAnsi="Times New Roman"/>
        </w:rPr>
      </w:pPr>
      <w:r>
        <w:rPr>
          <w:rFonts w:ascii="Times New Roman" w:hAnsi="Times New Roman"/>
        </w:rPr>
        <w:lastRenderedPageBreak/>
        <w:t>Olyan helyzetek tartoznak ide, ahol az adatkezelés olyan érdek védelmében történik, amely létfontosságú az érintett vagy más</w:t>
      </w:r>
      <w:r w:rsidR="00C11764">
        <w:rPr>
          <w:rFonts w:ascii="Times New Roman" w:hAnsi="Times New Roman"/>
        </w:rPr>
        <w:t xml:space="preserve"> természetes személy életéhez.</w:t>
      </w:r>
    </w:p>
    <w:p w:rsidR="001A0C04" w:rsidRDefault="001A0C04" w:rsidP="00052332">
      <w:pPr>
        <w:spacing w:after="0" w:line="240" w:lineRule="auto"/>
        <w:rPr>
          <w:rFonts w:ascii="Times New Roman" w:hAnsi="Times New Roman"/>
        </w:rPr>
      </w:pPr>
    </w:p>
    <w:p w:rsidR="000F0EDA" w:rsidRPr="0017418F" w:rsidRDefault="001A0C04" w:rsidP="00052332">
      <w:pPr>
        <w:spacing w:after="0" w:line="240" w:lineRule="auto"/>
        <w:rPr>
          <w:rFonts w:ascii="Times New Roman" w:hAnsi="Times New Roman"/>
        </w:rPr>
      </w:pPr>
      <w:r>
        <w:rPr>
          <w:rFonts w:ascii="Times New Roman" w:hAnsi="Times New Roman"/>
        </w:rPr>
        <w:t>Bizonyos típusú adatkezelés fontos közérdeket szolgálhat, valamint az érintett létfontosságú érdekeit szolgálhatja. Ilyen példa lehet az olyan modellek létrehozását célzó profilalkotás, amelyek életveszélyes betegségek terjedését jelzik előre, illetve a humanitárius szükséghelyzetekben végzett profilalkotás. Az adatkezelő azonban ilyen esetekben és elvben csak akkor hivatkozhat létfontosságú érdekekre, ha az adatkezelésre nincs más jogalap</w:t>
      </w:r>
      <w:r>
        <w:rPr>
          <w:rStyle w:val="FootnoteReference"/>
          <w:rFonts w:ascii="Times New Roman" w:hAnsi="Times New Roman"/>
        </w:rPr>
        <w:footnoteReference w:id="18"/>
      </w:r>
      <w:r>
        <w:t>.</w:t>
      </w:r>
      <w:r>
        <w:rPr>
          <w:rFonts w:ascii="Times New Roman" w:hAnsi="Times New Roman"/>
        </w:rPr>
        <w:t xml:space="preserve"> Ha az adatkezelés személyes adatok különleges kategóriájára vonatkozik, az adatkezelő köteles biztosítani, hogy eleget tesz a 9. c</w:t>
      </w:r>
      <w:r w:rsidR="00C11764">
        <w:rPr>
          <w:rFonts w:ascii="Times New Roman" w:hAnsi="Times New Roman"/>
        </w:rPr>
        <w:t>ikk (2) bekezdése c) pontjának.</w:t>
      </w:r>
    </w:p>
    <w:p w:rsidR="001752A2" w:rsidRDefault="001752A2" w:rsidP="004330CF">
      <w:pPr>
        <w:pStyle w:val="Heading3"/>
      </w:pPr>
      <w:bookmarkStart w:id="52" w:name="_Article_6(1)(e)_necessary"/>
      <w:bookmarkStart w:id="53" w:name="_Toc504568061"/>
      <w:bookmarkStart w:id="54" w:name="_Toc521658154"/>
      <w:bookmarkEnd w:id="52"/>
      <w:r>
        <w:t>A 6. cikk (1) bekezdésének e) pontja – közérdekű feladat vagy közhatalmi jogosítvány gyakorlásához szükséges</w:t>
      </w:r>
      <w:bookmarkEnd w:id="53"/>
      <w:bookmarkEnd w:id="54"/>
    </w:p>
    <w:p w:rsidR="0017418F" w:rsidRDefault="0017418F" w:rsidP="000631D9">
      <w:pPr>
        <w:spacing w:line="240" w:lineRule="auto"/>
        <w:jc w:val="both"/>
        <w:rPr>
          <w:rFonts w:ascii="Times New Roman" w:hAnsi="Times New Roman"/>
        </w:rPr>
      </w:pPr>
      <w:r>
        <w:rPr>
          <w:rFonts w:ascii="Times New Roman" w:hAnsi="Times New Roman"/>
        </w:rPr>
        <w:t xml:space="preserve">A 6. cikk (1) bekezdésének e) pontja bizonyos körülmények között megfelelő alap lehet a közszférában történő profilalkotásra. A feladatnak vagy funkciónak egyértelmű </w:t>
      </w:r>
      <w:r w:rsidR="00C11764">
        <w:rPr>
          <w:rFonts w:ascii="Times New Roman" w:hAnsi="Times New Roman"/>
        </w:rPr>
        <w:t>jogi alappal kell rendelkeznie.</w:t>
      </w:r>
    </w:p>
    <w:p w:rsidR="001752A2" w:rsidRPr="004F1F21" w:rsidRDefault="001752A2" w:rsidP="004330CF">
      <w:pPr>
        <w:pStyle w:val="Heading3"/>
      </w:pPr>
      <w:bookmarkStart w:id="55" w:name="_Article_6(1)(f)_processing"/>
      <w:bookmarkStart w:id="56" w:name="_Toc504568062"/>
      <w:bookmarkStart w:id="57" w:name="_Toc521658155"/>
      <w:bookmarkEnd w:id="55"/>
      <w:r>
        <w:t>A 6. cikk (1) bekezdésének f) pontja – az adatkezelő vagy egy harmadik fél jogos érdekei</w:t>
      </w:r>
      <w:r>
        <w:rPr>
          <w:rStyle w:val="FootnoteReference"/>
          <w:rFonts w:ascii="Times New Roman" w:hAnsi="Times New Roman"/>
          <w:sz w:val="22"/>
        </w:rPr>
        <w:footnoteReference w:id="19"/>
      </w:r>
      <w:r>
        <w:t xml:space="preserve"> miatt szükséges</w:t>
      </w:r>
      <w:bookmarkEnd w:id="56"/>
      <w:bookmarkEnd w:id="57"/>
    </w:p>
    <w:p w:rsidR="004E4F22" w:rsidRDefault="004C74A9" w:rsidP="00547902">
      <w:pPr>
        <w:spacing w:after="0" w:line="240" w:lineRule="auto"/>
        <w:rPr>
          <w:rFonts w:ascii="Times New Roman" w:hAnsi="Times New Roman"/>
        </w:rPr>
      </w:pPr>
      <w:r>
        <w:rPr>
          <w:rFonts w:ascii="Times New Roman" w:hAnsi="Times New Roman"/>
        </w:rPr>
        <w:t>A profilalkotás akkor megengedett, ha az adatkezelő vagy egy harmadik fél jogos érdekei</w:t>
      </w:r>
      <w:r>
        <w:rPr>
          <w:rStyle w:val="FootnoteReference"/>
          <w:rFonts w:ascii="Times New Roman" w:hAnsi="Times New Roman"/>
        </w:rPr>
        <w:footnoteReference w:id="20"/>
      </w:r>
      <w:r>
        <w:rPr>
          <w:rFonts w:ascii="Times New Roman" w:hAnsi="Times New Roman"/>
        </w:rPr>
        <w:t xml:space="preserve"> miatt szükséges. Azonban a 6. cikk (1) bekezdésének f) pontja nem alkalmazható automatikusan pusztán az adatkezelő vagy a harmadik fél jogos érdeke miatt. Az adatkezelőnek el kell végeznie az érdekmérlegelést annak felmérésére, hogy a saját érdekei elsőbbséget élveznek-e az érintett érdekeivel vagy alapvető joga</w:t>
      </w:r>
      <w:r w:rsidR="00C11764">
        <w:rPr>
          <w:rFonts w:ascii="Times New Roman" w:hAnsi="Times New Roman"/>
        </w:rPr>
        <w:t>ival és szabadságaival szemben.</w:t>
      </w:r>
    </w:p>
    <w:p w:rsidR="00FD0016" w:rsidRDefault="00FD0016" w:rsidP="00547902">
      <w:pPr>
        <w:spacing w:after="0" w:line="240" w:lineRule="auto"/>
        <w:rPr>
          <w:rFonts w:ascii="Times New Roman" w:hAnsi="Times New Roman"/>
        </w:rPr>
      </w:pPr>
    </w:p>
    <w:p w:rsidR="003E7828" w:rsidRDefault="003E7828" w:rsidP="00547902">
      <w:pPr>
        <w:spacing w:line="240" w:lineRule="auto"/>
        <w:rPr>
          <w:rFonts w:ascii="Times New Roman" w:hAnsi="Times New Roman"/>
        </w:rPr>
      </w:pPr>
      <w:r>
        <w:rPr>
          <w:rFonts w:ascii="Times New Roman" w:hAnsi="Times New Roman"/>
        </w:rPr>
        <w:t>Különösen a következő feltételek relevánsak:</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a profil részletességi szintje (tágan leírt csoportban profilozott érintett, pl. „angol irodalom iránt érdeklődő emberek”, vagy szegmentált és szemcsés szinten célzott);</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a profil átfogó jellege (a profil az érintettnek csak egy kisebb jellemzőjét írja le </w:t>
      </w:r>
      <w:r w:rsidR="00C11764">
        <w:rPr>
          <w:rFonts w:ascii="Times New Roman" w:hAnsi="Times New Roman"/>
        </w:rPr>
        <w:t>vagy átfogóbb képet fest róla);</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a profilalkotás hatása (az érintettre gyakorolt hatás); valamint</w:t>
      </w:r>
    </w:p>
    <w:p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a profilalkotási eljárás tisztességességét, megkülönböztetésmentességét és pontosságát biztosító garanciák.</w:t>
      </w:r>
    </w:p>
    <w:p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Bár a WP29 jogos érdekkel kapcsolatos véleménye</w:t>
      </w:r>
      <w:r>
        <w:rPr>
          <w:rStyle w:val="FootnoteReference"/>
          <w:rFonts w:ascii="Times New Roman" w:hAnsi="Times New Roman"/>
        </w:rPr>
        <w:footnoteReference w:id="21"/>
      </w:r>
      <w:r>
        <w:rPr>
          <w:rFonts w:ascii="Times New Roman" w:hAnsi="Times New Roman"/>
        </w:rPr>
        <w:t xml:space="preserve"> a 95/46/EK adatvédelmi irányelv (a továbbiakban: az irányelv) 7. cikkén alapul, olyan példákat tartalmaz, amelyek ettől függetlenül hasznosak és relevánsak a profilalkotást végző adatkezelők számára</w:t>
      </w:r>
      <w:r>
        <w:rPr>
          <w:rFonts w:ascii="Times New Roman" w:hAnsi="Times New Roman"/>
          <w:color w:val="000000" w:themeColor="text1"/>
        </w:rPr>
        <w:t xml:space="preserve">. Azt is megemlíti, hogy nehéz lehet az adatkezelők számára a jogos érdek jogalapként való alkalmazásának igazolása a marketing vagy reklám céljából folytatott tolakodó profilalkotási és nyomonkövetési gyakorlatok esetében, </w:t>
      </w:r>
      <w:r>
        <w:rPr>
          <w:rFonts w:ascii="Times New Roman" w:hAnsi="Times New Roman"/>
          <w:color w:val="000000" w:themeColor="text1"/>
        </w:rPr>
        <w:lastRenderedPageBreak/>
        <w:t>például akkor, ha ezek magukban foglalják az egyének számos weboldalon, helyen, eszközön, szolgáltatáson vagy adatközvetítőn keresztül történő nyomon követését.</w:t>
      </w:r>
    </w:p>
    <w:p w:rsidR="009649C4" w:rsidRDefault="004E4F22" w:rsidP="004330CF">
      <w:pPr>
        <w:spacing w:line="240" w:lineRule="auto"/>
        <w:rPr>
          <w:rFonts w:ascii="Times New Roman" w:hAnsi="Times New Roman"/>
          <w:b/>
        </w:rPr>
      </w:pPr>
      <w:r>
        <w:rPr>
          <w:rFonts w:ascii="Times New Roman" w:hAnsi="Times New Roman"/>
        </w:rPr>
        <w:t>Az adatkezelőnek figyelembe kell vennie a profilok jövőbeli felhasználását vagy összekapcsolását, amikor a 6. cikk (1) bekezdésének f) pontja s</w:t>
      </w:r>
      <w:r w:rsidR="00C11764">
        <w:rPr>
          <w:rFonts w:ascii="Times New Roman" w:hAnsi="Times New Roman"/>
        </w:rPr>
        <w:t>zerinti érvényességet értékeli.</w:t>
      </w:r>
    </w:p>
    <w:p w:rsidR="00C2677E" w:rsidRPr="002C442D" w:rsidRDefault="001752A2" w:rsidP="00BF176B">
      <w:pPr>
        <w:pStyle w:val="Heading2"/>
      </w:pPr>
      <w:bookmarkStart w:id="58" w:name="_Toc504568063"/>
      <w:bookmarkStart w:id="59" w:name="_Toc521658156"/>
      <w:r>
        <w:t>9. cikk: Különleges adatkategóriák</w:t>
      </w:r>
      <w:bookmarkEnd w:id="58"/>
      <w:bookmarkEnd w:id="59"/>
    </w:p>
    <w:p w:rsidR="001752A2" w:rsidRDefault="001752A2" w:rsidP="000E0F7C">
      <w:pPr>
        <w:spacing w:before="240" w:line="240" w:lineRule="auto"/>
        <w:rPr>
          <w:rFonts w:ascii="Times New Roman" w:hAnsi="Times New Roman"/>
        </w:rPr>
      </w:pPr>
      <w:r>
        <w:rPr>
          <w:rFonts w:ascii="Times New Roman" w:hAnsi="Times New Roman"/>
        </w:rPr>
        <w:t>Az adatkezelők a személyes adatok különleges kategóriáit csak akkor kezelhetik, ha eleget tesznek a 9. cikk (2) bekezdésében meghatározott feltételek egyikének és a 6. cikk egyik feltételének. Ez magában foglalja a profilalkotásból származtatott vagy következtetett különleges kategóriájú adatokat is.</w:t>
      </w:r>
    </w:p>
    <w:p w:rsidR="001752A2" w:rsidRDefault="001752A2" w:rsidP="00547902">
      <w:pPr>
        <w:spacing w:line="240" w:lineRule="auto"/>
        <w:rPr>
          <w:rFonts w:ascii="Times New Roman" w:hAnsi="Times New Roman"/>
        </w:rPr>
      </w:pPr>
      <w:r>
        <w:rPr>
          <w:rFonts w:ascii="Times New Roman" w:hAnsi="Times New Roman"/>
        </w:rPr>
        <w:t>A profilalkotás különleges kategóriájú adatokat hozhat létre olyan adatokból, amik önmagukban nem minősülnek különleges kategóriájúnak, de azzá válnak, ha más a</w:t>
      </w:r>
      <w:r w:rsidR="00C11764">
        <w:rPr>
          <w:rFonts w:ascii="Times New Roman" w:hAnsi="Times New Roman"/>
        </w:rPr>
        <w:t xml:space="preserve">datokkal összekapcsolják őket. </w:t>
      </w:r>
      <w:r>
        <w:rPr>
          <w:rFonts w:ascii="Times New Roman" w:hAnsi="Times New Roman"/>
        </w:rPr>
        <w:t>Például elképzelhető, hogy következtetni lehet valaki egészségi állapotára, ha az élelmiszer-vásárlási előzményeit összekapcsolják az élelmiszerek minőségére és energiat</w:t>
      </w:r>
      <w:r w:rsidR="00C11764">
        <w:rPr>
          <w:rFonts w:ascii="Times New Roman" w:hAnsi="Times New Roman"/>
        </w:rPr>
        <w:t>artalmára vonatkozó adatokkal.</w:t>
      </w:r>
    </w:p>
    <w:p w:rsidR="007E6696" w:rsidRPr="004F1F21" w:rsidRDefault="007E6696" w:rsidP="007E6696">
      <w:pPr>
        <w:spacing w:line="240" w:lineRule="auto"/>
        <w:rPr>
          <w:rFonts w:ascii="Times New Roman" w:hAnsi="Times New Roman"/>
        </w:rPr>
      </w:pPr>
      <w:r>
        <w:rPr>
          <w:rFonts w:ascii="Times New Roman" w:hAnsi="Times New Roman"/>
        </w:rPr>
        <w:t>Olyan összefüggések fedezhetők fel, amelyek jeleznek valamit a természetes személyek egészségi állapotáról, politikai vagy vallási meggyőződéséről vagy szexuális irányultságáról, amint azt az alábbi példa mutatja:</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Példa</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Egy tanulmány</w:t>
      </w:r>
      <w:r>
        <w:rPr>
          <w:rStyle w:val="FootnoteReference"/>
          <w:rFonts w:ascii="Times New Roman" w:hAnsi="Times New Roman"/>
        </w:rPr>
        <w:footnoteReference w:id="22"/>
      </w:r>
      <w:r>
        <w:rPr>
          <w:rFonts w:ascii="Times New Roman" w:hAnsi="Times New Roman"/>
        </w:rPr>
        <w:t xml:space="preserve"> összekapcsolta a Facebook „lájkokat” egy korlátozott felmérés adataival, és megállapította, hogy a kutatók pontosan előrejelezték a férfi felhasználók szexuális orientációját az esetek 88%-ában, a felhasználók etnikai származását az esetek 95%-ában pontosan előrejelezték, azt pedig, hogy a felhasználó keresztény va</w:t>
      </w:r>
      <w:r w:rsidR="00C11764">
        <w:rPr>
          <w:rFonts w:ascii="Times New Roman" w:hAnsi="Times New Roman"/>
        </w:rPr>
        <w:t>gy muszlim, az esetek 82%-ában.</w:t>
      </w:r>
    </w:p>
    <w:p w:rsidR="00A57F78" w:rsidRDefault="00A57F78" w:rsidP="00547902">
      <w:pPr>
        <w:spacing w:line="240" w:lineRule="auto"/>
        <w:rPr>
          <w:rFonts w:ascii="Times New Roman" w:hAnsi="Times New Roman"/>
        </w:rPr>
      </w:pPr>
    </w:p>
    <w:p w:rsidR="00A16E1D" w:rsidRDefault="00A16E1D" w:rsidP="00547902">
      <w:pPr>
        <w:spacing w:line="240" w:lineRule="auto"/>
        <w:rPr>
          <w:rFonts w:ascii="Times New Roman" w:hAnsi="Times New Roman"/>
        </w:rPr>
      </w:pPr>
      <w:r>
        <w:rPr>
          <w:rFonts w:ascii="Times New Roman" w:hAnsi="Times New Roman"/>
        </w:rPr>
        <w:t>Ha a profilalkotásból érzékeny preferenciákra és jellemzőkre következtetnek, az adatkezelőnek meg kell győződnie arról, hogy:</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az adatkezelés nem összeegyeztethetetlen az eredeti céllal;</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törvényes alapot azonosítottak a különleges kategóriájú adatok kezelésére; és</w:t>
      </w:r>
    </w:p>
    <w:p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tájékoztatják az érintettet az adatkezelésről.</w:t>
      </w:r>
    </w:p>
    <w:p w:rsidR="00E0057A" w:rsidRPr="00750770" w:rsidRDefault="00873DFF" w:rsidP="00750770">
      <w:pPr>
        <w:spacing w:line="240" w:lineRule="auto"/>
        <w:jc w:val="both"/>
        <w:rPr>
          <w:rFonts w:ascii="Times New Roman" w:hAnsi="Times New Roman"/>
        </w:rPr>
      </w:pPr>
      <w:r>
        <w:rPr>
          <w:rFonts w:ascii="Times New Roman" w:hAnsi="Times New Roman"/>
        </w:rPr>
        <w:t>A különleges kategóriájú adatokon végzett, a 22. cikk (1) bekezdésének meghatározása alá eső automatizált döntéshozatalt a IV. </w:t>
      </w:r>
      <w:r w:rsidR="00C11764">
        <w:rPr>
          <w:rFonts w:ascii="Times New Roman" w:hAnsi="Times New Roman"/>
        </w:rPr>
        <w:t>fejezet (D. szakasz) tárgyalja.</w:t>
      </w:r>
    </w:p>
    <w:p w:rsidR="00326915" w:rsidRDefault="00326915" w:rsidP="00617EC0">
      <w:pPr>
        <w:spacing w:line="240" w:lineRule="auto"/>
        <w:jc w:val="both"/>
        <w:rPr>
          <w:rFonts w:ascii="Times New Roman" w:hAnsi="Times New Roman"/>
        </w:rPr>
      </w:pPr>
    </w:p>
    <w:p w:rsidR="004F1F21" w:rsidRPr="004F1F21" w:rsidRDefault="004F1F21" w:rsidP="004330CF">
      <w:pPr>
        <w:pStyle w:val="Heading2"/>
      </w:pPr>
      <w:bookmarkStart w:id="60" w:name="_Toc504568064"/>
      <w:bookmarkStart w:id="61" w:name="_Toc521658157"/>
      <w:r>
        <w:t>Az érintett jogai</w:t>
      </w:r>
      <w:r>
        <w:rPr>
          <w:rStyle w:val="FootnoteReference"/>
        </w:rPr>
        <w:footnoteReference w:id="23"/>
      </w:r>
      <w:bookmarkEnd w:id="60"/>
      <w:bookmarkEnd w:id="61"/>
    </w:p>
    <w:p w:rsidR="004F1F21" w:rsidRPr="004F1F21" w:rsidRDefault="004F1F21" w:rsidP="00617EC0">
      <w:pPr>
        <w:spacing w:line="240" w:lineRule="auto"/>
        <w:jc w:val="both"/>
        <w:rPr>
          <w:rFonts w:ascii="Times New Roman" w:hAnsi="Times New Roman"/>
        </w:rPr>
      </w:pPr>
      <w:r>
        <w:rPr>
          <w:rFonts w:ascii="Times New Roman" w:hAnsi="Times New Roman"/>
        </w:rPr>
        <w:lastRenderedPageBreak/>
        <w:t>A GDPR erőteljesebb jogokkal ruházza fel az érintetteket, és új kötelezettségeket hoz létre az adatkezelőkre vonatkozóan.</w:t>
      </w:r>
    </w:p>
    <w:p w:rsidR="00F358D5" w:rsidRDefault="004F1F21" w:rsidP="00617EC0">
      <w:pPr>
        <w:spacing w:line="240" w:lineRule="auto"/>
        <w:jc w:val="both"/>
        <w:rPr>
          <w:rFonts w:ascii="Times New Roman" w:hAnsi="Times New Roman"/>
        </w:rPr>
      </w:pPr>
      <w:r>
        <w:rPr>
          <w:rFonts w:ascii="Times New Roman" w:hAnsi="Times New Roman"/>
        </w:rPr>
        <w:t>A profilalkotás kontextusában ezek a jogok perben érvényesíthetők a profilt létrehozó adatkezelővel, valamint – ha ezek a szervezetek nem azonosak – az érintettről (emberi beavatkozással vagy anélkül) automatizált döntéshozatalt végző adatkezelővel szemben.</w:t>
      </w:r>
    </w:p>
    <w:p w:rsidR="00873DFF" w:rsidRDefault="00873DFF" w:rsidP="00617EC0">
      <w:pPr>
        <w:spacing w:line="240" w:lineRule="auto"/>
        <w:jc w:val="both"/>
        <w:rPr>
          <w:rFonts w:ascii="Times New Roman" w:hAnsi="Times New Roman"/>
        </w:rPr>
      </w:pPr>
    </w:p>
    <w:p w:rsidR="004E4F22" w:rsidRPr="00B10069" w:rsidRDefault="00C11764"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Példa</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Egy adatközvetítő személyes</w:t>
      </w:r>
      <w:r w:rsidR="00C11764">
        <w:rPr>
          <w:rFonts w:ascii="Times New Roman" w:hAnsi="Times New Roman"/>
        </w:rPr>
        <w:t xml:space="preserve"> adatok profilozását vállalja. </w:t>
      </w:r>
      <w:r>
        <w:rPr>
          <w:rFonts w:ascii="Times New Roman" w:hAnsi="Times New Roman"/>
        </w:rPr>
        <w:t>Összhangban a 13. és a 14. cikkben írt kötelezettségeivel, az adatközvetítőnek tájékoztatnia kell a természetes személyt az adatkezelésről, ideértve arról is, hogy a profilt meg kívánják-e osztani más szervezetekkel. Az adatközvetítő köteles külön is bemutatni a tiltakozáshoz való jog részleteit a 21. cikk (1) bekezdése alapján.</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Az adatközvetítő megosztja a profilt egy másik céggel. Ez a cég a profilt arra használja, hogy közvetlen üzletszerzési célú anyagokat kü</w:t>
      </w:r>
      <w:r w:rsidR="00C11764">
        <w:rPr>
          <w:rFonts w:ascii="Times New Roman" w:hAnsi="Times New Roman"/>
        </w:rPr>
        <w:t>ldjön a természetes személynek.</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 cégnek tájékoztatnia kell a természetes személyt (a 14. cikk (1) bekezdésének c) pontja) az ilyen profil felhasználásának céljáról és arról, hogy az információt milyen forrásból szerezte (a 14. cikk (2) bekezdésének f) pontja). A cégnek tájékoztatnia kell az érintettet a közvetlen üzletszerzési célú adatkezeléssel szembeni tiltakozásra való jogáról is, ideértve a profilalkotást is (a 21. cikk (2) bekezdése).</w:t>
      </w:r>
    </w:p>
    <w:p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Az adatközvetítőnek és a cégnek biztosítania kell az érintett számára a felhasznált adatokhoz való hozzáférés jogát (15. cikk), hogy helyesbíthesse a hibás adatokat (16. cikk), és bizonyos körülmények között törölhess a profilt vagy az annak létrehozásához felhasznált személyes adatokat (17. cikk). Az érintettet tájékoztatni kell a profiljáról is, például arról, hogy milyen „szegmensekben” vagy „kategóriákba” helyezték el őt.</w:t>
      </w:r>
      <w:r>
        <w:rPr>
          <w:rStyle w:val="FootnoteReference"/>
          <w:rFonts w:ascii="Times New Roman" w:hAnsi="Times New Roman"/>
        </w:rPr>
        <w:t xml:space="preserve"> </w:t>
      </w:r>
      <w:r>
        <w:rPr>
          <w:rStyle w:val="FootnoteReference"/>
          <w:rFonts w:ascii="Times New Roman" w:hAnsi="Times New Roman"/>
        </w:rPr>
        <w:footnoteReference w:id="24"/>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Ha a cég a profilt az érintettre joghatással járó vagy az érintettet hasonlóképpen jelentős mértékben érintő, kizárólag automatizált döntéshozatali folyamat részeként használja, a cég minősül adatkezelőnek a 22. cikk rendelkezéseire is figyelemmel. (Ez nem jelenti azt, hogy az adatközvetítőre ne lenne alkalmazandó a 22. cikk hatálya alól, ha az adatkezelés megfel</w:t>
      </w:r>
      <w:r w:rsidR="00C11764">
        <w:rPr>
          <w:rFonts w:ascii="Times New Roman" w:hAnsi="Times New Roman"/>
        </w:rPr>
        <w:t>el a vonatkozó küszöbértéknek.)</w:t>
      </w:r>
    </w:p>
    <w:p w:rsidR="008563F5" w:rsidRPr="008563F5" w:rsidRDefault="008563F5" w:rsidP="008563F5">
      <w:bookmarkStart w:id="62" w:name="_Articles_13_and"/>
      <w:bookmarkEnd w:id="62"/>
    </w:p>
    <w:p w:rsidR="00F51CA9" w:rsidRDefault="001A730C" w:rsidP="008563F5">
      <w:pPr>
        <w:pStyle w:val="Heading3"/>
      </w:pPr>
      <w:bookmarkStart w:id="63" w:name="_Toc504568065"/>
      <w:bookmarkStart w:id="64" w:name="_Toc521658158"/>
      <w:r>
        <w:t>13. és 14. cikk: A tájékoztatáshoz való jog</w:t>
      </w:r>
      <w:bookmarkEnd w:id="63"/>
      <w:bookmarkEnd w:id="64"/>
    </w:p>
    <w:p w:rsidR="001F6F6D" w:rsidRDefault="00FD4699" w:rsidP="00C70FA2">
      <w:pPr>
        <w:spacing w:line="240" w:lineRule="auto"/>
        <w:rPr>
          <w:rFonts w:ascii="Times New Roman" w:hAnsi="Times New Roman"/>
        </w:rPr>
      </w:pPr>
      <w:r>
        <w:rPr>
          <w:rFonts w:ascii="Times New Roman" w:hAnsi="Times New Roman"/>
        </w:rPr>
        <w:t>Tekintettel a GDPR alapjául szolgáló átláthatósági alapelvre, az adatkezelőknek biztosítania kell, hogy világosan és egyszerűen elmagyarázzák a természetes személyeknek a profilalkotási vagy az automatizált döntéshozatali folyamat működését.</w:t>
      </w:r>
    </w:p>
    <w:p w:rsidR="00FD4699" w:rsidRDefault="00FD4699" w:rsidP="00617EC0">
      <w:pPr>
        <w:spacing w:after="0" w:line="240" w:lineRule="auto"/>
        <w:jc w:val="both"/>
        <w:rPr>
          <w:rFonts w:ascii="Times New Roman" w:hAnsi="Times New Roman"/>
        </w:rPr>
      </w:pPr>
      <w:r>
        <w:rPr>
          <w:rFonts w:ascii="Times New Roman" w:hAnsi="Times New Roman"/>
        </w:rPr>
        <w:t>Különösen ahol az adatkezelés profilalapú döntéshozatalt foglal magában (függetlenül attól, hogy arra kiterjednek-e a 22. cikk rendelkezései), az érintett számára egyértelművé kell tenni azt a tényt, hogy az adatkezelés célja mind a) a profilalkotás, mind b) a létrehozott profil alapján történő döntéshozatal</w:t>
      </w:r>
      <w:r>
        <w:rPr>
          <w:rStyle w:val="FootnoteReference"/>
          <w:rFonts w:ascii="Times New Roman" w:hAnsi="Times New Roman"/>
        </w:rPr>
        <w:footnoteReference w:id="25"/>
      </w:r>
      <w:r>
        <w:t>.</w:t>
      </w:r>
    </w:p>
    <w:p w:rsidR="001F6F6D" w:rsidRDefault="001F6F6D" w:rsidP="00617EC0">
      <w:pPr>
        <w:spacing w:after="0" w:line="240" w:lineRule="auto"/>
        <w:jc w:val="both"/>
        <w:rPr>
          <w:rFonts w:ascii="Times New Roman" w:hAnsi="Times New Roman"/>
        </w:rPr>
      </w:pPr>
    </w:p>
    <w:p w:rsidR="00C804C2" w:rsidRDefault="001C71C8" w:rsidP="00617EC0">
      <w:pPr>
        <w:spacing w:line="240" w:lineRule="auto"/>
        <w:jc w:val="both"/>
        <w:rPr>
          <w:rFonts w:ascii="Times New Roman" w:hAnsi="Times New Roman"/>
        </w:rPr>
      </w:pPr>
      <w:r>
        <w:rPr>
          <w:rFonts w:ascii="Times New Roman" w:hAnsi="Times New Roman"/>
        </w:rPr>
        <w:t>A (60) preambulumbekezdés rögzíti, hogy a profilalkotásról való tájékoztatás részét képezi az adatkezelő 5. cikk (1) bekezdésének a) pontja szerinti kötelezettségeinek. Az érintettnek joga van arra, hogy</w:t>
      </w:r>
      <w:r>
        <w:rPr>
          <w:rFonts w:ascii="Times New Roman" w:hAnsi="Times New Roman"/>
          <w:i/>
        </w:rPr>
        <w:t xml:space="preserve"> tájékoztatást kapjon</w:t>
      </w:r>
      <w:r>
        <w:rPr>
          <w:rFonts w:ascii="Times New Roman" w:hAnsi="Times New Roman"/>
        </w:rPr>
        <w:t xml:space="preserve"> az adatkezelőtől a „profilalkotásról” és bizonyos körülmények között </w:t>
      </w:r>
      <w:r>
        <w:rPr>
          <w:rFonts w:ascii="Times New Roman" w:hAnsi="Times New Roman"/>
          <w:i/>
        </w:rPr>
        <w:t>joga van tiltakozni</w:t>
      </w:r>
      <w:r>
        <w:rPr>
          <w:rFonts w:ascii="Times New Roman" w:hAnsi="Times New Roman"/>
        </w:rPr>
        <w:t xml:space="preserve"> a „profilalkotás” ellen, </w:t>
      </w:r>
      <w:r>
        <w:rPr>
          <w:rFonts w:ascii="Times New Roman" w:hAnsi="Times New Roman"/>
          <w:i/>
        </w:rPr>
        <w:t xml:space="preserve">tekintet nélkül </w:t>
      </w:r>
      <w:r>
        <w:rPr>
          <w:rFonts w:ascii="Times New Roman" w:hAnsi="Times New Roman"/>
        </w:rPr>
        <w:t>arra, hogy a profilalkotás alapján sor kerül-e kizárólag autom</w:t>
      </w:r>
      <w:r w:rsidR="00FC3028">
        <w:rPr>
          <w:rFonts w:ascii="Times New Roman" w:hAnsi="Times New Roman"/>
        </w:rPr>
        <w:t>atizált egyedi döntéshozatalra.</w:t>
      </w:r>
    </w:p>
    <w:p w:rsidR="00FE0BAE" w:rsidRDefault="00FE0BAE" w:rsidP="00617EC0">
      <w:pPr>
        <w:spacing w:line="240" w:lineRule="auto"/>
        <w:jc w:val="both"/>
        <w:rPr>
          <w:rFonts w:ascii="Times New Roman" w:hAnsi="Times New Roman"/>
        </w:rPr>
      </w:pPr>
      <w:r>
        <w:rPr>
          <w:rFonts w:ascii="Times New Roman" w:hAnsi="Times New Roman"/>
        </w:rPr>
        <w:t>További általános iránymutatás az átláthatóságról elérhető a GDPR szerinti átláthatóságról szóló WP29-iránymutatásban</w:t>
      </w:r>
      <w:r>
        <w:rPr>
          <w:rStyle w:val="FootnoteReference"/>
        </w:rPr>
        <w:footnoteReference w:id="26"/>
      </w:r>
      <w:r>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6762E8">
      <w:pPr>
        <w:pStyle w:val="Heading3"/>
      </w:pPr>
      <w:bookmarkStart w:id="65" w:name="_Transparency_and_automated"/>
      <w:bookmarkStart w:id="66" w:name="_Toc504568066"/>
      <w:bookmarkStart w:id="67" w:name="_Toc521658159"/>
      <w:bookmarkEnd w:id="65"/>
      <w:r>
        <w:t>15. cikk: Hozzáférési jog</w:t>
      </w:r>
      <w:bookmarkEnd w:id="66"/>
      <w:bookmarkEnd w:id="67"/>
    </w:p>
    <w:p w:rsidR="00B359E8" w:rsidRDefault="006C2B28" w:rsidP="008D5BAD">
      <w:pPr>
        <w:pStyle w:val="NormalWeb"/>
        <w:rPr>
          <w:sz w:val="22"/>
          <w:szCs w:val="22"/>
        </w:rPr>
      </w:pPr>
      <w:r>
        <w:rPr>
          <w:sz w:val="22"/>
        </w:rPr>
        <w:t>A 15. cikk feljogosítja az érintettet, hogy tájékoztatást kapjon a profilalkotáshoz felhasznált bármilyen személyes adat részleteiről, ideértve a profil kialakításához használt adatkategóriákat.</w:t>
      </w:r>
    </w:p>
    <w:p w:rsidR="008B6F95" w:rsidRDefault="008B6F95" w:rsidP="008D5BAD">
      <w:pPr>
        <w:pStyle w:val="NormalWeb"/>
        <w:rPr>
          <w:sz w:val="22"/>
          <w:szCs w:val="22"/>
        </w:rPr>
      </w:pPr>
      <w:r>
        <w:rPr>
          <w:sz w:val="22"/>
        </w:rPr>
        <w:t>Az adatkezelésre vonatkozó, a 15. cikk (3) bekezdése szerinti általános tájékoztatáson felül az adatkezelő köteles rendelkezésre bocsátani a profil kialakításához bemenetként felhasznált adatokat, továbbá hozzáférést biztosítani a profilra vonatkozó információhoz és arra vonatkozó részleteket megadni, hogy az érintettet mely szegmensekbe sorolták.</w:t>
      </w:r>
    </w:p>
    <w:p w:rsidR="003261D9" w:rsidRPr="00F6566B" w:rsidRDefault="003261D9" w:rsidP="003261D9">
      <w:pPr>
        <w:spacing w:after="0" w:line="240" w:lineRule="auto"/>
        <w:rPr>
          <w:rFonts w:ascii="Times New Roman" w:hAnsi="Times New Roman"/>
        </w:rPr>
      </w:pPr>
      <w:r>
        <w:rPr>
          <w:rFonts w:ascii="Times New Roman" w:hAnsi="Times New Roman"/>
        </w:rPr>
        <w:t>Ez más, mint a 20. cikk szerinti adathordozhatósághoz való jog, ahol az adatkezelő csak az érintett által megadott vagy az adatkezelő által megfigyelt adatokat köteles átadni, nem pedig magát a profilt</w:t>
      </w:r>
      <w:r>
        <w:rPr>
          <w:rStyle w:val="FootnoteReference"/>
          <w:rFonts w:ascii="Times New Roman" w:hAnsi="Times New Roman"/>
        </w:rPr>
        <w:footnoteReference w:id="27"/>
      </w:r>
      <w:r>
        <w:t>.</w:t>
      </w:r>
    </w:p>
    <w:p w:rsidR="004B432D" w:rsidRPr="004F1F21" w:rsidRDefault="004B432D" w:rsidP="008D5BAD">
      <w:pPr>
        <w:spacing w:after="0" w:line="240" w:lineRule="auto"/>
        <w:rPr>
          <w:rFonts w:ascii="Times New Roman" w:hAnsi="Times New Roman"/>
        </w:rPr>
      </w:pPr>
    </w:p>
    <w:p w:rsidR="006C2B28" w:rsidRDefault="006C2B28" w:rsidP="00FE0BAE">
      <w:pPr>
        <w:spacing w:line="240" w:lineRule="auto"/>
        <w:rPr>
          <w:rFonts w:ascii="Times New Roman" w:hAnsi="Times New Roman"/>
        </w:rPr>
      </w:pPr>
      <w:r>
        <w:rPr>
          <w:rFonts w:ascii="Times New Roman" w:hAnsi="Times New Roman"/>
        </w:rPr>
        <w:t xml:space="preserve">A (63) preambulumbekezdés bizonyos védelmet ad az adatkezelők számára az üzleti titkok vagy szellemi tulajdon feltárása tekintetében, ami különösen fontos lehet a profilalkotással kapcsolatban. Kimondja, hogy a hozzáférés joga nem érintheti hátrányosan mások jogait és szabadságait, beleértve az üzleti titkokat vagy a szellemi tulajdont, és különösen a szoftverek védelmét biztosító szerzői jogokat. Azonban az adatkezelők nem hivatkozhatnak az üzleti titkuk védelmére ürügyként arra, hogy megtagadják a hozzáférést vagy visszautasítsák az érintett </w:t>
      </w:r>
      <w:r w:rsidR="00FC3028">
        <w:rPr>
          <w:rFonts w:ascii="Times New Roman" w:hAnsi="Times New Roman"/>
        </w:rPr>
        <w:t>tájékoztatását.</w:t>
      </w:r>
    </w:p>
    <w:p w:rsidR="00F51CA9" w:rsidRPr="00F51CA9" w:rsidRDefault="00772E01" w:rsidP="00FE0BAE">
      <w:pPr>
        <w:spacing w:after="0" w:line="240" w:lineRule="auto"/>
        <w:rPr>
          <w:rFonts w:ascii="Times New Roman" w:hAnsi="Times New Roman"/>
        </w:rPr>
      </w:pPr>
      <w:r>
        <w:rPr>
          <w:rFonts w:ascii="Times New Roman" w:hAnsi="Times New Roman"/>
        </w:rPr>
        <w:t>A (63) preambulumbekezdés azt is rögzíti, hogy „ha lehetséges, az adatkezelő távoli hozzáférést biztosíthat egy biztonságos rendszerhez, amelyen keresztül az érintett a saját személyes adat</w:t>
      </w:r>
      <w:r w:rsidR="00FC3028">
        <w:rPr>
          <w:rFonts w:ascii="Times New Roman" w:hAnsi="Times New Roman"/>
        </w:rPr>
        <w:t>aihoz közvetlenül hozzáférhet.”</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453396">
      <w:pPr>
        <w:pStyle w:val="Heading3"/>
      </w:pPr>
      <w:bookmarkStart w:id="68" w:name="_Toc504568067"/>
      <w:bookmarkStart w:id="69" w:name="_Toc521658160"/>
      <w:r>
        <w:t>16. cikk: A helyesbítéshez való jog, 17. cikk: A törléshez való jog, 18. cikk: Az adatkezelés korlátozásához való jog</w:t>
      </w:r>
      <w:bookmarkEnd w:id="68"/>
      <w:bookmarkEnd w:id="69"/>
    </w:p>
    <w:p w:rsidR="001C53CA" w:rsidRDefault="001C53CA" w:rsidP="00453396">
      <w:pPr>
        <w:spacing w:after="0" w:line="240" w:lineRule="auto"/>
        <w:rPr>
          <w:rFonts w:ascii="Times New Roman" w:hAnsi="Times New Roman"/>
        </w:rPr>
      </w:pPr>
      <w:r>
        <w:rPr>
          <w:rFonts w:ascii="Times New Roman" w:hAnsi="Times New Roman"/>
        </w:rPr>
        <w:t>A profilalkotás magában foglalhat előrejelzést, ami növeli a pontatlanság kockázatát. A bemeneti adatok pontatlanok vagy lényegtelenek lehetnek, vagy lehet, hogy kiragadták azokat az összefüggésből. Lehet, hogy valami gond van az összefüggések azonos</w:t>
      </w:r>
      <w:r w:rsidR="00FC3028">
        <w:rPr>
          <w:rFonts w:ascii="Times New Roman" w:hAnsi="Times New Roman"/>
        </w:rPr>
        <w:t>ítására használt algoritmussal.</w:t>
      </w:r>
    </w:p>
    <w:p w:rsidR="001C53CA" w:rsidRDefault="001C53CA" w:rsidP="00453396">
      <w:pPr>
        <w:spacing w:after="0" w:line="240" w:lineRule="auto"/>
        <w:rPr>
          <w:rFonts w:ascii="Times New Roman" w:hAnsi="Times New Roman"/>
        </w:rPr>
      </w:pPr>
    </w:p>
    <w:p w:rsidR="00777203" w:rsidRDefault="00DE5718" w:rsidP="00453396">
      <w:pPr>
        <w:spacing w:after="0" w:line="240" w:lineRule="auto"/>
        <w:rPr>
          <w:rFonts w:ascii="Times New Roman" w:hAnsi="Times New Roman"/>
        </w:rPr>
      </w:pPr>
      <w:r>
        <w:rPr>
          <w:rFonts w:ascii="Times New Roman" w:hAnsi="Times New Roman"/>
        </w:rPr>
        <w:t>A 16. cikk szerinti helyesbítéshez való jogot lehet alkalmazni például ott, ahol a természetes személyt olyan kategóriába sorolták, amelyik elárul valamit egy feladat elvégzésére való képességéről, és az ilyen pr</w:t>
      </w:r>
      <w:r w:rsidR="00573612">
        <w:rPr>
          <w:rFonts w:ascii="Times New Roman" w:hAnsi="Times New Roman"/>
        </w:rPr>
        <w:t xml:space="preserve">ofil téves információn alapul. </w:t>
      </w:r>
      <w:r>
        <w:rPr>
          <w:rFonts w:ascii="Times New Roman" w:hAnsi="Times New Roman"/>
        </w:rPr>
        <w:t>A természetes személyek vitathatják a felhasznált adatok pontosságát, és a velük kapcsolatban alkalmazott bármilyen csoportosítást vagy k</w:t>
      </w:r>
      <w:r w:rsidR="00FC3028">
        <w:rPr>
          <w:rFonts w:ascii="Times New Roman" w:hAnsi="Times New Roman"/>
        </w:rPr>
        <w:t>ategorizálást.</w:t>
      </w:r>
    </w:p>
    <w:p w:rsidR="00777203" w:rsidRDefault="00777203" w:rsidP="00453396">
      <w:pPr>
        <w:spacing w:after="0" w:line="240" w:lineRule="auto"/>
        <w:rPr>
          <w:rFonts w:ascii="Times New Roman" w:hAnsi="Times New Roman"/>
        </w:rPr>
      </w:pPr>
    </w:p>
    <w:p w:rsidR="003261D9" w:rsidRDefault="003261D9" w:rsidP="003261D9">
      <w:pPr>
        <w:spacing w:after="0" w:line="240" w:lineRule="auto"/>
        <w:rPr>
          <w:rFonts w:ascii="Times New Roman" w:hAnsi="Times New Roman"/>
        </w:rPr>
      </w:pPr>
      <w:r>
        <w:rPr>
          <w:rFonts w:ascii="Times New Roman" w:hAnsi="Times New Roman"/>
        </w:rPr>
        <w:t>A helyesbítéshez és a törléshez</w:t>
      </w:r>
      <w:r>
        <w:rPr>
          <w:rStyle w:val="FootnoteReference"/>
          <w:rFonts w:ascii="Times New Roman" w:hAnsi="Times New Roman"/>
        </w:rPr>
        <w:footnoteReference w:id="28"/>
      </w:r>
      <w:r>
        <w:rPr>
          <w:rFonts w:ascii="Times New Roman" w:hAnsi="Times New Roman"/>
        </w:rPr>
        <w:t xml:space="preserve"> való jog vonatkozik mind a „bemeneti személyes adatokra” (a profil létrehozásához használt személyes adatokra), mind a „kimeneti adatokra” (maga a profil vagy a személyhez rendelt „pontszám”).</w:t>
      </w:r>
    </w:p>
    <w:p w:rsidR="003261D9" w:rsidRDefault="003261D9" w:rsidP="00453396">
      <w:pPr>
        <w:spacing w:after="0" w:line="240" w:lineRule="auto"/>
        <w:rPr>
          <w:rFonts w:ascii="Times New Roman" w:hAnsi="Times New Roman"/>
        </w:rPr>
      </w:pPr>
    </w:p>
    <w:p w:rsidR="00CC2E34" w:rsidRDefault="003C2AFB" w:rsidP="00453396">
      <w:pPr>
        <w:spacing w:after="0" w:line="240" w:lineRule="auto"/>
        <w:rPr>
          <w:rFonts w:ascii="Times New Roman" w:hAnsi="Times New Roman"/>
        </w:rPr>
      </w:pPr>
      <w:r>
        <w:rPr>
          <w:rFonts w:ascii="Times New Roman" w:hAnsi="Times New Roman"/>
        </w:rPr>
        <w:t>A 16. cikk azt a jogot is biztosítja az érintett számára, hogy további információval egészítse ki a személyes adatokat.</w:t>
      </w:r>
    </w:p>
    <w:p w:rsidR="00AB2EE5" w:rsidRDefault="00AB2EE5" w:rsidP="00617EC0">
      <w:pPr>
        <w:spacing w:after="0" w:line="240" w:lineRule="auto"/>
        <w:jc w:val="both"/>
        <w:rPr>
          <w:rFonts w:ascii="Times New Roman" w:hAnsi="Times New Roman"/>
        </w:rPr>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Példa</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helyi rendelőintézet számítógépes rendszere az egyént egy olyan csoportba helyezi, amely esetében a legnagyobb a szívbetegség valószínűsége. Ez a „profil” nem feltétlenül pontatlan, még akkor sem, ha az egyén so</w:t>
      </w:r>
      <w:r w:rsidR="00FC3028">
        <w:rPr>
          <w:rFonts w:ascii="Times New Roman" w:hAnsi="Times New Roman"/>
        </w:rPr>
        <w:t>ha nem szenved szívbetegségben.</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A profil csupán azt mondja ki, hogy </w:t>
      </w:r>
      <w:r>
        <w:rPr>
          <w:rFonts w:ascii="Times New Roman" w:hAnsi="Times New Roman"/>
          <w:i/>
        </w:rPr>
        <w:t xml:space="preserve">nagyobb a valószínűsége annak, </w:t>
      </w:r>
      <w:r>
        <w:rPr>
          <w:rFonts w:ascii="Times New Roman" w:hAnsi="Times New Roman"/>
        </w:rPr>
        <w:t>hogy ő is ilyen betegségben fog szenvedni. Statisztikai szempontból ez tényszerűen helytálló lehet.</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Mindazonáltal az érintettnek joga van kiegészítő nyilatkozatot tenni, figyelembe véve az adatkezelés célját. A fenti forgatókönyvben ez alapulhat például egy fejlettebb számítógépes gyógyászati rendszeren (és statisztikai modellen), amely további adatokat faktorál és részletesebb vizsgálatokat végez, mint a helyi rendelőintézetben levő, korlátozottabb képességekkel rendelkező rendszer.</w:t>
      </w:r>
    </w:p>
    <w:p w:rsidR="00CC2E34" w:rsidRDefault="00CC2E34" w:rsidP="00617EC0">
      <w:pPr>
        <w:spacing w:after="0" w:line="240" w:lineRule="auto"/>
        <w:jc w:val="both"/>
        <w:rPr>
          <w:rFonts w:ascii="Times New Roman" w:hAnsi="Times New Roman"/>
        </w:rPr>
      </w:pPr>
    </w:p>
    <w:p w:rsidR="00684E58" w:rsidRDefault="00684E58" w:rsidP="00453396">
      <w:pPr>
        <w:spacing w:after="0" w:line="240" w:lineRule="auto"/>
        <w:rPr>
          <w:rFonts w:ascii="Times New Roman" w:hAnsi="Times New Roman"/>
        </w:rPr>
      </w:pPr>
    </w:p>
    <w:p w:rsidR="005F6EC1" w:rsidRPr="005F6EC1" w:rsidRDefault="00826506" w:rsidP="00453396">
      <w:pPr>
        <w:spacing w:after="0" w:line="240" w:lineRule="auto"/>
        <w:rPr>
          <w:rFonts w:ascii="Times New Roman" w:hAnsi="Times New Roman"/>
        </w:rPr>
      </w:pPr>
      <w:r>
        <w:rPr>
          <w:rFonts w:ascii="Times New Roman" w:hAnsi="Times New Roman"/>
        </w:rPr>
        <w:t>Az adatkezelés korlátozásához való jog (18. cikk) a profilalkotási folyamat minden szakaszára vonatkozik.</w:t>
      </w:r>
    </w:p>
    <w:p w:rsidR="004F1F21" w:rsidRPr="004F1F21" w:rsidRDefault="004F1F21" w:rsidP="00453396">
      <w:pPr>
        <w:pStyle w:val="Heading3"/>
      </w:pPr>
      <w:bookmarkStart w:id="70" w:name="_Toc504568068"/>
      <w:bookmarkStart w:id="71" w:name="_Toc521658161"/>
      <w:r>
        <w:t>21. cikk: A tiltakozáshoz való jog</w:t>
      </w:r>
      <w:bookmarkEnd w:id="70"/>
      <w:bookmarkEnd w:id="71"/>
    </w:p>
    <w:p w:rsidR="00363305" w:rsidRDefault="00363305" w:rsidP="00363305">
      <w:pPr>
        <w:spacing w:after="0" w:line="240" w:lineRule="auto"/>
        <w:rPr>
          <w:rFonts w:ascii="Times New Roman" w:hAnsi="Times New Roman"/>
        </w:rPr>
      </w:pPr>
      <w:r>
        <w:rPr>
          <w:rFonts w:ascii="Times New Roman" w:hAnsi="Times New Roman"/>
        </w:rPr>
        <w:t xml:space="preserve">Az adatkezelő köteles </w:t>
      </w:r>
      <w:r>
        <w:rPr>
          <w:rFonts w:ascii="Times New Roman" w:hAnsi="Times New Roman"/>
          <w:i/>
        </w:rPr>
        <w:t>kifejezetten</w:t>
      </w:r>
      <w:r>
        <w:rPr>
          <w:rFonts w:ascii="Times New Roman" w:hAnsi="Times New Roman"/>
        </w:rPr>
        <w:t xml:space="preserve"> felhívni az érintettek figyelmét a tiltakozáshoz való jog részleteire, ahogyan ezeket a 21. cikk (1) és (2) bekezdése meghatározza, és ezt az egyéb tájékoztatástól egyértelműen és elkülönítve kell megjeleníteni (a 21. cikk (4) bekezdése).</w:t>
      </w:r>
    </w:p>
    <w:p w:rsidR="00363305" w:rsidRDefault="00363305" w:rsidP="00363305">
      <w:pPr>
        <w:spacing w:after="0" w:line="240" w:lineRule="auto"/>
        <w:rPr>
          <w:rFonts w:ascii="Times New Roman" w:hAnsi="Times New Roman"/>
        </w:rPr>
      </w:pPr>
    </w:p>
    <w:p w:rsidR="00273F18" w:rsidRDefault="004F1F21" w:rsidP="008D5BAD">
      <w:pPr>
        <w:spacing w:after="0" w:line="240" w:lineRule="auto"/>
        <w:rPr>
          <w:rFonts w:ascii="Times New Roman" w:hAnsi="Times New Roman"/>
        </w:rPr>
      </w:pPr>
      <w:r>
        <w:rPr>
          <w:rFonts w:ascii="Times New Roman" w:hAnsi="Times New Roman"/>
        </w:rPr>
        <w:t>A 21. cikk (1) bekezdése szerint az érintett a saját helyzetével kapcsolatos okokból tiltakozhat az adatkezelés ellen (ideértve a profilalkotást is). Az adatkezelők kifejezetten kötelesek biztosítani ezt a jogot minden olyan helyzetben, ahol az adatkezelés a 6. cikk (1) bekezdés</w:t>
      </w:r>
      <w:r w:rsidR="00FC3028">
        <w:rPr>
          <w:rFonts w:ascii="Times New Roman" w:hAnsi="Times New Roman"/>
        </w:rPr>
        <w:t>ének e) vagy f) pontján alapul.</w:t>
      </w:r>
    </w:p>
    <w:p w:rsidR="002856BA" w:rsidRPr="004F1F21" w:rsidRDefault="002856BA" w:rsidP="008D5BAD">
      <w:pPr>
        <w:spacing w:after="0" w:line="240" w:lineRule="auto"/>
        <w:rPr>
          <w:rFonts w:ascii="Times New Roman" w:hAnsi="Times New Roman"/>
        </w:rPr>
      </w:pPr>
    </w:p>
    <w:p w:rsidR="00104E4F" w:rsidRDefault="007E7678" w:rsidP="008D5BAD">
      <w:pPr>
        <w:spacing w:after="0" w:line="240" w:lineRule="auto"/>
        <w:rPr>
          <w:rFonts w:ascii="Times New Roman" w:hAnsi="Times New Roman"/>
        </w:rPr>
      </w:pPr>
      <w:r>
        <w:rPr>
          <w:rFonts w:ascii="Times New Roman" w:hAnsi="Times New Roman"/>
        </w:rPr>
        <w:t>Ha az érintett gyakorolja ezt a jogát, az adatkezelő köteles megszakítani</w:t>
      </w:r>
      <w:r>
        <w:rPr>
          <w:rStyle w:val="FootnoteReference"/>
          <w:rFonts w:ascii="Times New Roman" w:hAnsi="Times New Roman"/>
        </w:rPr>
        <w:footnoteReference w:id="29"/>
      </w:r>
      <w:r>
        <w:rPr>
          <w:rFonts w:ascii="Times New Roman" w:hAnsi="Times New Roman"/>
        </w:rPr>
        <w:t xml:space="preserve"> (vagy nem kezdheti meg) a profilalkotási folyamatot, kivéve, ha olyan kényszerítő erejű jogos érdeket tud bizonyítani, amely felülírja az érintett érdekeit, jogait és szabadságait. Lehet, hogy az adatkezelőnek törölnie kell az érintett személyes adatot</w:t>
      </w:r>
      <w:r>
        <w:rPr>
          <w:rStyle w:val="FootnoteReference"/>
          <w:rFonts w:ascii="Times New Roman" w:hAnsi="Times New Roman"/>
        </w:rPr>
        <w:footnoteReference w:id="30"/>
      </w:r>
      <w:r>
        <w:t>.</w:t>
      </w:r>
    </w:p>
    <w:p w:rsidR="005F3D63" w:rsidRDefault="005F3D63" w:rsidP="008D5BAD">
      <w:pPr>
        <w:spacing w:after="0" w:line="240" w:lineRule="auto"/>
        <w:rPr>
          <w:rFonts w:ascii="Times New Roman" w:hAnsi="Times New Roman"/>
        </w:rPr>
      </w:pPr>
    </w:p>
    <w:p w:rsidR="00273F18" w:rsidRDefault="00AB1CF3" w:rsidP="00FE0BAE">
      <w:pPr>
        <w:spacing w:after="0" w:line="240" w:lineRule="auto"/>
        <w:rPr>
          <w:rFonts w:ascii="Times New Roman" w:hAnsi="Times New Roman"/>
        </w:rPr>
      </w:pPr>
      <w:r>
        <w:rPr>
          <w:rFonts w:ascii="Times New Roman" w:hAnsi="Times New Roman"/>
        </w:rPr>
        <w:lastRenderedPageBreak/>
        <w:t>A GDPR nem ad semmilyen magyarázatot arra, hogy mi minősül kényszerítő erejű jogos érdeknek</w:t>
      </w:r>
      <w:r>
        <w:rPr>
          <w:rStyle w:val="FootnoteReference"/>
          <w:rFonts w:ascii="Times New Roman" w:hAnsi="Times New Roman"/>
        </w:rPr>
        <w:footnoteReference w:id="31"/>
      </w:r>
      <w:r>
        <w:t xml:space="preserve">. </w:t>
      </w:r>
      <w:r>
        <w:rPr>
          <w:rFonts w:ascii="Times New Roman" w:hAnsi="Times New Roman"/>
        </w:rPr>
        <w:t>Ez lehet a helyzet például akkor, ha a profilalkotás hasznos a társadalom (vagy a tágabb közösség) számára, és nem csak az adatkezelő üzleti érdekei szempontjából, mint például a fertőző betegségek terjedését előre jelző profilalkotás.</w:t>
      </w:r>
    </w:p>
    <w:p w:rsidR="00273F18" w:rsidRDefault="00273F18" w:rsidP="00617EC0">
      <w:pPr>
        <w:spacing w:after="0" w:line="240" w:lineRule="auto"/>
        <w:jc w:val="both"/>
        <w:rPr>
          <w:rFonts w:ascii="Times New Roman" w:hAnsi="Times New Roman"/>
        </w:rPr>
      </w:pPr>
    </w:p>
    <w:p w:rsidR="003261D9" w:rsidRPr="006E7F71" w:rsidRDefault="00FC3028" w:rsidP="003261D9">
      <w:pPr>
        <w:spacing w:after="0" w:line="240" w:lineRule="auto"/>
        <w:rPr>
          <w:rFonts w:ascii="Times New Roman" w:hAnsi="Times New Roman"/>
        </w:rPr>
      </w:pPr>
      <w:r>
        <w:rPr>
          <w:rFonts w:ascii="Times New Roman" w:hAnsi="Times New Roman"/>
        </w:rPr>
        <w:t>Az adatkezelőnek:</w:t>
      </w:r>
    </w:p>
    <w:p w:rsidR="003261D9" w:rsidRPr="006E7F71" w:rsidRDefault="003261D9" w:rsidP="003261D9">
      <w:pPr>
        <w:spacing w:after="0" w:line="240" w:lineRule="auto"/>
        <w:jc w:val="both"/>
        <w:rPr>
          <w:rFonts w:ascii="Times New Roman" w:hAnsi="Times New Roman"/>
        </w:rPr>
      </w:pPr>
    </w:p>
    <w:p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meg kell vizsgálnia a profilalkotás jelentőségét a saját kül</w:t>
      </w:r>
      <w:r w:rsidR="00FC3028">
        <w:rPr>
          <w:rFonts w:ascii="Times New Roman" w:hAnsi="Times New Roman"/>
        </w:rPr>
        <w:t>önös célkitűzései tekintetében;</w:t>
      </w:r>
    </w:p>
    <w:p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meg kell vizsgálnia a profilalkotás hatását az érintett érdekeire, jogaira és szabadságaira – ezt a cél eléréséhez szükséges legkisebb mértékre kell korlátozni; valamint</w:t>
      </w:r>
    </w:p>
    <w:p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t>el ke</w:t>
      </w:r>
      <w:r w:rsidR="00FC3028">
        <w:rPr>
          <w:rFonts w:ascii="Times New Roman" w:hAnsi="Times New Roman"/>
        </w:rPr>
        <w:t>ll végezni az érdekmérlegelést.</w:t>
      </w:r>
    </w:p>
    <w:p w:rsidR="003261D9" w:rsidRPr="006E7F71" w:rsidRDefault="003261D9" w:rsidP="003261D9">
      <w:pPr>
        <w:pStyle w:val="ListParagraph"/>
        <w:spacing w:after="0" w:line="240" w:lineRule="auto"/>
        <w:ind w:left="780"/>
        <w:rPr>
          <w:rFonts w:ascii="Times New Roman" w:hAnsi="Times New Roman"/>
        </w:rPr>
      </w:pPr>
    </w:p>
    <w:p w:rsidR="004B3326" w:rsidRPr="006E7F71" w:rsidRDefault="003261D9" w:rsidP="003261D9">
      <w:pPr>
        <w:spacing w:after="0" w:line="240" w:lineRule="auto"/>
        <w:rPr>
          <w:rFonts w:ascii="Times New Roman" w:hAnsi="Times New Roman"/>
        </w:rPr>
      </w:pPr>
      <w:r>
        <w:rPr>
          <w:rFonts w:ascii="Times New Roman" w:hAnsi="Times New Roman"/>
        </w:rPr>
        <w:t>Mindig kell mérlegelést végezni az adatkezelő érdekei és az érintett tiltakozásának (személyes, szociális vagy szakmai okkal kapcsolatos) alapja között. Ellentétben a 95/46/EK irányelvvel, a kényszerítő erejű jogos érdek fennállásának bizonyítása az adatkezelőt te</w:t>
      </w:r>
      <w:r w:rsidR="00FC3028">
        <w:rPr>
          <w:rFonts w:ascii="Times New Roman" w:hAnsi="Times New Roman"/>
        </w:rPr>
        <w:t>rheli, nem pedig az érintettet.</w:t>
      </w:r>
    </w:p>
    <w:p w:rsidR="006E7F71" w:rsidRPr="006E7F71" w:rsidRDefault="006E7F71" w:rsidP="003261D9">
      <w:pPr>
        <w:spacing w:after="0" w:line="240" w:lineRule="auto"/>
        <w:rPr>
          <w:rFonts w:ascii="Times New Roman" w:hAnsi="Times New Roman"/>
        </w:rPr>
      </w:pPr>
    </w:p>
    <w:p w:rsidR="003261D9" w:rsidRPr="006E7F71" w:rsidRDefault="004B3326" w:rsidP="003261D9">
      <w:pPr>
        <w:spacing w:after="0" w:line="240" w:lineRule="auto"/>
        <w:rPr>
          <w:rFonts w:ascii="Times New Roman" w:hAnsi="Times New Roman"/>
        </w:rPr>
      </w:pPr>
      <w:r>
        <w:rPr>
          <w:rFonts w:ascii="Times New Roman" w:hAnsi="Times New Roman"/>
        </w:rPr>
        <w:t>A 21. cikk szövegéből kitűnik, hogy az érdekmérlegelési teszt eltér a 6. cikk (1) bekezdésének f) pontjában meghatározottaktól. Más szóval, nem elegendő, ha az adatkezelő egyszerűen azt bizonyítja, hogy a jogos érdekre vonatkozó korábbi elemzése helyes volt. Ez a mérlegelési teszt megköveteli, hogy a jogos érdek</w:t>
      </w:r>
      <w:r>
        <w:rPr>
          <w:rFonts w:ascii="Times New Roman" w:hAnsi="Times New Roman"/>
          <w:i/>
        </w:rPr>
        <w:t xml:space="preserve"> kényszerítő</w:t>
      </w:r>
      <w:r>
        <w:rPr>
          <w:rFonts w:ascii="Times New Roman" w:hAnsi="Times New Roman"/>
        </w:rPr>
        <w:t xml:space="preserve"> legyen, ami azt jelenti, hogy magasabb küszöböt határoz meg a tiltakozással sz</w:t>
      </w:r>
      <w:r w:rsidR="00FC3028">
        <w:rPr>
          <w:rFonts w:ascii="Times New Roman" w:hAnsi="Times New Roman"/>
        </w:rPr>
        <w:t>embeni elsőbbségre vonatkozóan.</w:t>
      </w:r>
    </w:p>
    <w:p w:rsidR="004F1F21" w:rsidRPr="004F1F21" w:rsidRDefault="004F1F21" w:rsidP="00617EC0">
      <w:pPr>
        <w:spacing w:after="0" w:line="240" w:lineRule="auto"/>
        <w:jc w:val="both"/>
        <w:rPr>
          <w:rFonts w:ascii="Times New Roman" w:hAnsi="Times New Roman"/>
        </w:rPr>
      </w:pPr>
    </w:p>
    <w:p w:rsidR="00203620" w:rsidRDefault="004F1F21" w:rsidP="00617EC0">
      <w:pPr>
        <w:spacing w:after="0" w:line="240" w:lineRule="auto"/>
        <w:jc w:val="both"/>
        <w:rPr>
          <w:rFonts w:ascii="Times New Roman" w:hAnsi="Times New Roman"/>
        </w:rPr>
      </w:pPr>
      <w:r>
        <w:t>A</w:t>
      </w:r>
      <w:r>
        <w:rPr>
          <w:rFonts w:ascii="Times New Roman" w:hAnsi="Times New Roman"/>
          <w:b/>
        </w:rPr>
        <w:t xml:space="preserve"> 21. cikk (2) </w:t>
      </w:r>
      <w:r>
        <w:rPr>
          <w:rFonts w:ascii="Times New Roman" w:hAnsi="Times New Roman"/>
        </w:rPr>
        <w:t>bekezdése</w:t>
      </w:r>
      <w:r>
        <w:rPr>
          <w:rFonts w:ascii="Times New Roman" w:hAnsi="Times New Roman"/>
          <w:i/>
        </w:rPr>
        <w:t xml:space="preserve"> feltétlen</w:t>
      </w:r>
      <w:r>
        <w:rPr>
          <w:rFonts w:ascii="Times New Roman" w:hAnsi="Times New Roman"/>
        </w:rPr>
        <w:t xml:space="preserve"> jogot ad az érintettnek, hogy tiltakozzon a személyes adatainak közvetlen üzletszerzési célú kezelése ellen, ideértve a profilalkotást is, olyan mértékben, amelyben az összefügg az ilyen közvetlen üzletszerzéssel</w:t>
      </w:r>
      <w:r>
        <w:rPr>
          <w:rStyle w:val="FootnoteReference"/>
          <w:rFonts w:ascii="Times New Roman" w:hAnsi="Times New Roman"/>
        </w:rPr>
        <w:footnoteReference w:id="32"/>
      </w:r>
      <w:r w:rsidR="00FC3028">
        <w:rPr>
          <w:rFonts w:ascii="Times New Roman" w:hAnsi="Times New Roman"/>
        </w:rPr>
        <w:t xml:space="preserve">. </w:t>
      </w:r>
      <w:r>
        <w:rPr>
          <w:rFonts w:ascii="Times New Roman" w:hAnsi="Times New Roman"/>
        </w:rPr>
        <w:t>Ez azt jelenti, hogy nincs szükség semmilyen érdekmérlegelésre; az adatkezelő köteles tiszteletben tartani a természetes személy kívánságait a tiltakozás okának megkérdőjelezése nélkül. A (70) preambulumbekezdés tovább magyarázza ezt a jogot, és kimondja, hogy azt bármikor és díjmentesen lehet gyakorolni.</w:t>
      </w:r>
    </w:p>
    <w:p w:rsidR="00453396" w:rsidRDefault="00453396" w:rsidP="00617EC0">
      <w:pPr>
        <w:spacing w:after="0" w:line="240" w:lineRule="auto"/>
        <w:jc w:val="both"/>
        <w:rPr>
          <w:rFonts w:ascii="Times New Roman" w:hAnsi="Times New Roman"/>
        </w:rPr>
      </w:pPr>
    </w:p>
    <w:p w:rsidR="00AF3592" w:rsidRPr="002C442D" w:rsidRDefault="00AF3592" w:rsidP="00AF3592">
      <w:pPr>
        <w:pStyle w:val="Heading1"/>
      </w:pPr>
      <w:bookmarkStart w:id="72" w:name="_Specific_provisions_on_1"/>
      <w:bookmarkStart w:id="73" w:name="_Toc504568069"/>
      <w:bookmarkStart w:id="74" w:name="_Toc521658162"/>
      <w:bookmarkEnd w:id="72"/>
      <w:r>
        <w:t>A 22. cikkben meghatározott, kizárólag automatizált döntéshozatalra vonatkozó különös rendelkezések</w:t>
      </w:r>
      <w:bookmarkEnd w:id="73"/>
      <w:bookmarkEnd w:id="74"/>
    </w:p>
    <w:p w:rsidR="00AF3592" w:rsidRDefault="00AF3592" w:rsidP="00AF3592">
      <w:pPr>
        <w:jc w:val="both"/>
        <w:rPr>
          <w:rFonts w:ascii="Times New Roman" w:hAnsi="Times New Roman"/>
        </w:rPr>
      </w:pPr>
      <w:bookmarkStart w:id="75" w:name="_Article_22_explained"/>
      <w:bookmarkEnd w:id="75"/>
      <w:r>
        <w:rPr>
          <w:rFonts w:ascii="Times New Roman" w:hAnsi="Times New Roman"/>
        </w:rPr>
        <w:t>A 22. cikk (1) bekezdése szerint:</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rPr>
                <w:rFonts w:ascii="Times New Roman" w:hAnsi="Times New Roman"/>
              </w:rPr>
            </w:pPr>
            <w:r>
              <w:rPr>
                <w:rFonts w:ascii="Times New Roman" w:hAnsi="Times New Roman"/>
              </w:rPr>
              <w:t xml:space="preserve">Az érintett jogosult arra, hogy ne terjedjen ki rá az olyan, </w:t>
            </w:r>
            <w:r>
              <w:rPr>
                <w:rFonts w:ascii="Times New Roman" w:hAnsi="Times New Roman"/>
                <w:i/>
              </w:rPr>
              <w:t>kizárólag</w:t>
            </w:r>
            <w:r>
              <w:rPr>
                <w:rFonts w:ascii="Times New Roman" w:hAnsi="Times New Roman"/>
              </w:rPr>
              <w:t xml:space="preserve"> automatizált adatkezelésen – ideértve a profilalkotást is – </w:t>
            </w:r>
            <w:r>
              <w:rPr>
                <w:rFonts w:ascii="Times New Roman" w:hAnsi="Times New Roman"/>
                <w:i/>
              </w:rPr>
              <w:t>alapuló</w:t>
            </w:r>
            <w:r>
              <w:rPr>
                <w:rFonts w:ascii="Times New Roman" w:hAnsi="Times New Roman"/>
              </w:rPr>
              <w:t xml:space="preserve"> döntés hatálya, amely rá nézve </w:t>
            </w:r>
            <w:r>
              <w:rPr>
                <w:rFonts w:ascii="Times New Roman" w:hAnsi="Times New Roman"/>
                <w:i/>
              </w:rPr>
              <w:t>joghatással</w:t>
            </w:r>
            <w:r>
              <w:rPr>
                <w:rFonts w:ascii="Times New Roman" w:hAnsi="Times New Roman"/>
              </w:rPr>
              <w:t xml:space="preserve"> járna vagy őt </w:t>
            </w:r>
            <w:r>
              <w:rPr>
                <w:rFonts w:ascii="Times New Roman" w:hAnsi="Times New Roman"/>
                <w:i/>
              </w:rPr>
              <w:t>hasonlóképpen jelentős mértékben érintené</w:t>
            </w:r>
            <w:r>
              <w:rPr>
                <w:rFonts w:ascii="Times New Roman" w:hAnsi="Times New Roman"/>
              </w:rPr>
              <w:t>.</w:t>
            </w:r>
          </w:p>
        </w:tc>
      </w:tr>
    </w:tbl>
    <w:p w:rsidR="00AF3592" w:rsidRDefault="00AF3592" w:rsidP="00AF3592">
      <w:pPr>
        <w:spacing w:after="0" w:line="240" w:lineRule="auto"/>
        <w:rPr>
          <w:rFonts w:ascii="Times New Roman" w:hAnsi="Times New Roman"/>
        </w:rPr>
      </w:pPr>
    </w:p>
    <w:p w:rsidR="002F4DC7" w:rsidRDefault="002F4DC7" w:rsidP="00AF3592">
      <w:pPr>
        <w:spacing w:after="0" w:line="240" w:lineRule="auto"/>
        <w:rPr>
          <w:rFonts w:ascii="Times New Roman" w:hAnsi="Times New Roman"/>
        </w:rPr>
      </w:pPr>
      <w:r>
        <w:rPr>
          <w:rFonts w:ascii="Times New Roman" w:hAnsi="Times New Roman"/>
        </w:rPr>
        <w:lastRenderedPageBreak/>
        <w:t>A rendelkezésben a „jogosult” kifejezés nem azt jelenti, hogy a 22. cikk (1) bekezdése csak akkor aktív, ha az érintett hivatkozik rá. A 22. cikk (1) bekezdése általános tilalmat állapít meg a kizárólag automatizált adatkezelésen alapuló döntéshozatal tekintetében. Ez a tilalom attól függetlenül fennáll, hogy az érintett tesz-e intézkedést a személyes a</w:t>
      </w:r>
      <w:r w:rsidR="00FC3028">
        <w:rPr>
          <w:rFonts w:ascii="Times New Roman" w:hAnsi="Times New Roman"/>
        </w:rPr>
        <w:t>datai kezelésével kapcsolatban.</w:t>
      </w:r>
    </w:p>
    <w:p w:rsidR="002F4DC7" w:rsidRDefault="002F4DC7"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Összegezve, a 22. cikk értelmében:</w:t>
      </w:r>
    </w:p>
    <w:p w:rsidR="00AF3592" w:rsidRPr="004F1F21" w:rsidRDefault="00AF3592" w:rsidP="00AF3592">
      <w:pPr>
        <w:spacing w:after="0" w:line="240" w:lineRule="auto"/>
        <w:rPr>
          <w:rFonts w:ascii="Times New Roman" w:hAnsi="Times New Roman"/>
        </w:rPr>
      </w:pPr>
    </w:p>
    <w:p w:rsidR="00AF3592" w:rsidRPr="00B54E5D" w:rsidRDefault="00AF3592" w:rsidP="00AF3592">
      <w:pPr>
        <w:spacing w:after="0" w:line="240" w:lineRule="auto"/>
        <w:rPr>
          <w:rFonts w:ascii="Times New Roman" w:hAnsi="Times New Roman"/>
        </w:rPr>
      </w:pPr>
      <w:r>
        <w:rPr>
          <w:rFonts w:ascii="Times New Roman" w:hAnsi="Times New Roman"/>
        </w:rPr>
        <w:t>(i) főszabályként általános tilalom vonatkozik a joghatással vagy hasonlóképpen jelentős hatással járó, kizárólag automatizált egyedi döntéshozatalra;</w:t>
      </w:r>
    </w:p>
    <w:p w:rsidR="00AF3592" w:rsidRPr="004F1F21" w:rsidRDefault="00AF3592" w:rsidP="00AF3592">
      <w:pPr>
        <w:spacing w:after="0" w:line="240" w:lineRule="auto"/>
        <w:rPr>
          <w:rFonts w:ascii="Times New Roman" w:hAnsi="Times New Roman"/>
        </w:rPr>
      </w:pPr>
      <w:r>
        <w:rPr>
          <w:rFonts w:ascii="Times New Roman" w:hAnsi="Times New Roman"/>
        </w:rPr>
        <w:t>(ii) a szabály alól vannak kivételek;</w:t>
      </w:r>
    </w:p>
    <w:p w:rsidR="00AF3592" w:rsidRDefault="00AF3592" w:rsidP="00AF3592">
      <w:pPr>
        <w:spacing w:after="0" w:line="240" w:lineRule="auto"/>
        <w:rPr>
          <w:rFonts w:ascii="Times New Roman" w:hAnsi="Times New Roman"/>
        </w:rPr>
      </w:pPr>
      <w:r>
        <w:rPr>
          <w:rFonts w:ascii="Times New Roman" w:hAnsi="Times New Roman"/>
        </w:rPr>
        <w:t>(iii) ha valamelyik ilyen kivétel fennáll, akkor intézkedéseket kell tenni az érintettek jogainak és szabadságainak, továbbá jogos érdekeinek védelmére</w:t>
      </w:r>
      <w:r>
        <w:rPr>
          <w:rStyle w:val="FootnoteReference"/>
          <w:rFonts w:ascii="Times New Roman" w:hAnsi="Times New Roman"/>
        </w:rPr>
        <w:footnoteReference w:id="33"/>
      </w:r>
      <w:r>
        <w:rPr>
          <w:rFonts w:ascii="Times New Roman" w:hAnsi="Times New Roman"/>
        </w:rPr>
        <w:t>.</w:t>
      </w:r>
    </w:p>
    <w:p w:rsidR="000457AA" w:rsidRDefault="000457AA"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Ez az értelmezés megerősíti azt az elképzelést, hogy az érintett rendelkezzen a személyes adataival, ami összha</w:t>
      </w:r>
      <w:r w:rsidR="00FC3028">
        <w:rPr>
          <w:rFonts w:ascii="Times New Roman" w:hAnsi="Times New Roman"/>
        </w:rPr>
        <w:t xml:space="preserve">ngban van a GDPR alapelveivel. </w:t>
      </w:r>
      <w:r>
        <w:rPr>
          <w:rFonts w:ascii="Times New Roman" w:hAnsi="Times New Roman"/>
        </w:rPr>
        <w:t>A 22. cikk tilalomként, és nem érvényesíthető jogként való értelmezése azt jelenti, hogy a természetes személyeket automatikusan védik azoktól a hatásokból, amelyekkel az ilyen adatkezelés esetleg járhat. A cikk szövegezése azt sugallja, hogy ez a szándék, amit alátámaszt a (71) preambulumbekezdés is, amely kimondja:</w:t>
      </w:r>
    </w:p>
    <w:p w:rsidR="00AF3592" w:rsidRDefault="00AF3592" w:rsidP="00AF3592">
      <w:pPr>
        <w:spacing w:after="0" w:line="240" w:lineRule="auto"/>
        <w:rPr>
          <w:rFonts w:ascii="Times New Roman" w:hAnsi="Times New Roman"/>
        </w:rPr>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b/>
        </w:rPr>
        <w:t>Megengedhető</w:t>
      </w:r>
      <w:r>
        <w:rPr>
          <w:rFonts w:ascii="Times New Roman" w:hAnsi="Times New Roman"/>
        </w:rPr>
        <w:t xml:space="preserve"> azonban az efféle adatkezelésen – ideértve profilalkotást is – alapuló döntéshozatal, ha azt (...) uniós vagy tagállami jog kifejezetten engedélyezi (...), vagy arra (...) szerződés megkötése vagy teljesítése érdekében van szükség, vagy ha az érintett ahhoz kifejezett hozzájárulását adta.</w:t>
      </w:r>
    </w:p>
    <w:p w:rsidR="00AF3592" w:rsidRDefault="00AF3592" w:rsidP="00AF3592">
      <w:pPr>
        <w:spacing w:after="0" w:line="240" w:lineRule="auto"/>
        <w:rPr>
          <w:rFonts w:ascii="Times New Roman" w:hAnsi="Times New Roman"/>
        </w:rPr>
      </w:pPr>
      <w:r>
        <w:rPr>
          <w:rFonts w:ascii="Times New Roman" w:hAnsi="Times New Roman"/>
        </w:rPr>
        <w:t>Ez azt mutatja, hogy a 22. cikk (1) bekezdésén alapuló adatkezelés általában nem megengedett</w:t>
      </w:r>
      <w:r>
        <w:rPr>
          <w:rStyle w:val="FootnoteReference"/>
          <w:rFonts w:ascii="Times New Roman" w:hAnsi="Times New Roman"/>
        </w:rPr>
        <w:footnoteReference w:id="34"/>
      </w:r>
      <w:r>
        <w: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Azonban a 22. cikk (1) bekezdésének tilalma</w:t>
      </w:r>
      <w:r>
        <w:rPr>
          <w:rFonts w:ascii="Times New Roman" w:hAnsi="Times New Roman"/>
          <w:i/>
        </w:rPr>
        <w:t xml:space="preserve"> csak </w:t>
      </w:r>
      <w:r>
        <w:rPr>
          <w:rFonts w:ascii="Times New Roman" w:hAnsi="Times New Roman"/>
        </w:rPr>
        <w:t>olyan konkrét körülmények között áll fenn, amikor a döntést kizárólag automatizált adatkezelés (ideértve a profilalkotást is) alapján hozzák meg, és annak joghatása vagy egy hasonlóképpen jelentősen hatása van valakire, ahogy ezt az iránymutatás pontosabban elmagyarázza. Még ezekben az esetekben is vannak meghatározott kivételek, amelyek lehetővé teszik az ilyen adatkezelés végzését.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Az alább részletesebben tárgyalt ilyen megkövetelt garanciák közé tartozik a tájékoztatáshoz való jog (amint ezt a 13. és a 14. cikk tárgyalja – kifejezetten érdemi tájékoztatás az alkalmazott logikáról, továbbá jelentősége és várható következményei az érintettre nézve), valamint a garanciák, mint például az emberi beavatkozás kérésének joga és a döntéssel szembeni kifogás joga (ezzel a 22. c</w:t>
      </w:r>
      <w:r w:rsidR="00FC3028">
        <w:rPr>
          <w:rFonts w:ascii="Times New Roman" w:hAnsi="Times New Roman"/>
        </w:rPr>
        <w:t>ikk (3) bekezdése foglalkozik).</w:t>
      </w:r>
    </w:p>
    <w:p w:rsidR="00AF3592"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Pr>
          <w:rFonts w:ascii="Times New Roman" w:hAnsi="Times New Roman"/>
        </w:rPr>
        <w:t xml:space="preserve">Bármilyen adatkezeléshez, amely az érintettekre valószínűleg magas kockázattal jár, az adatkezelő köteles </w:t>
      </w:r>
      <w:hyperlink w:anchor="_Data_protection_impact" w:history="1">
        <w:r>
          <w:rPr>
            <w:rStyle w:val="Hyperlink"/>
            <w:rFonts w:ascii="Times New Roman" w:hAnsi="Times New Roman"/>
          </w:rPr>
          <w:t>adatvédelmi hatásvizsgálatot (a továbbiakban: DPIA)</w:t>
        </w:r>
      </w:hyperlink>
      <w:r>
        <w:t xml:space="preserve"> végezni.</w:t>
      </w:r>
      <w:hyperlink w:anchor="_Data_protection_impact" w:history="1">
        <w:r>
          <w:rPr>
            <w:rStyle w:val="Hyperlink"/>
            <w:rFonts w:ascii="Times New Roman" w:hAnsi="Times New Roman"/>
            <w:vertAlign w:val="superscript"/>
          </w:rPr>
          <w:footnoteReference w:id="35"/>
        </w:r>
      </w:hyperlink>
      <w:r>
        <w:rPr>
          <w:rFonts w:ascii="Times New Roman" w:hAnsi="Times New Roman"/>
        </w:rPr>
        <w:t xml:space="preserve"> Amellett, hogy foglalkozik az adatkezeléshez kapcsolódó egyéb kockázatokkal, a DPIA különösen hasznos lehet azon adatkezelők számára, akik nem biztosak abban, hogy a tervezett tevékenység a 22. cikk (1) bekezdésének </w:t>
      </w:r>
      <w:r>
        <w:rPr>
          <w:rFonts w:ascii="Times New Roman" w:hAnsi="Times New Roman"/>
        </w:rPr>
        <w:lastRenderedPageBreak/>
        <w:t>meghatározása alá esik-e, és ha azt egyértelmű kivétel lehetővé teszi, akkor milyen garanciákat kell alkalmazni</w:t>
      </w:r>
      <w:r>
        <w:t>.</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Heading2"/>
      </w:pPr>
      <w:bookmarkStart w:id="76" w:name="_Based_solely_on"/>
      <w:bookmarkStart w:id="77" w:name="_Toc504568070"/>
      <w:bookmarkStart w:id="78" w:name="_Toc521658163"/>
      <w:bookmarkEnd w:id="76"/>
      <w:r>
        <w:t>„Kizárólag automatizált adatkezelésen alapuló döntés”</w:t>
      </w:r>
      <w:bookmarkEnd w:id="77"/>
      <w:bookmarkEnd w:id="78"/>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 22. cikk (1) bekezdése a „kizárólag” automatizált adatkezelésen „alapuló” döntésekre utal. Ez azt jelenti, hogy nincs emberi rész</w:t>
      </w:r>
      <w:r w:rsidR="00FC3028">
        <w:rPr>
          <w:rFonts w:ascii="Times New Roman" w:hAnsi="Times New Roman"/>
        </w:rPr>
        <w:t>vétel a döntési folyamatban.</w:t>
      </w:r>
    </w:p>
    <w:p w:rsidR="00AF3592" w:rsidRDefault="00AF3592" w:rsidP="00AF3592">
      <w:pPr>
        <w:spacing w:after="0" w:line="240" w:lineRule="auto"/>
        <w:rPr>
          <w:rFonts w:ascii="Times New Roman" w:hAnsi="Times New Roman"/>
        </w:rPr>
      </w:pPr>
    </w:p>
    <w:p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Példa</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Egy automatizált folyamat eredményeként olyasmi áll elő, ami lényegében az érintettre vonatkozó ajánlás. Ha egy ember a végleges döntés meghozatala során megvizsgál és figyelembe vesz más tényezőket, az ilyen döntés nem lesz „kizárólag" automatikus adatkezelésen „alapuló” döntés.</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Az adatkezelő nem kerülheti meg a 22. cikk rendelkezéseit azáltal, hogy emberi közreműködést épít be. Például, ha valaki rendszeresen automatikusan generált profilokat alkalmaz természetes személyek tekintetében anélkül, hogy tényleges befolyást gyakorolna az eredményre, ez továbbra is kizárólag automatizált adatkezelésen alapuló döntésnek minősül.</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Ahhoz, hogy emberi részvételnek minősüljön, az adatkezelőnek biztosítania kell, hogy a döntést érintő áttekintés érdemi, és nem csak jelképes gesztus. Olyan személynek kell végeznie, aki jogkörrel és kompetenciával rendelkezik a döntés megváltoztatására. Az elemzés részeként az összes releváns adatot figyelembe kell venni.</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 DPIA részeként az adatkezelőnek azonosítania és rögzítenie kell az esetleges emberi részvétel mértékét a döntéshozatali folyamatban és azt, hogy erre milyen fázisban kerül sor.</w:t>
      </w:r>
    </w:p>
    <w:p w:rsidR="00AF3592"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AF3592">
      <w:pPr>
        <w:pStyle w:val="Heading2"/>
      </w:pPr>
      <w:bookmarkStart w:id="79" w:name="_Toc468695859"/>
      <w:bookmarkStart w:id="80" w:name="_Toc504568071"/>
      <w:bookmarkStart w:id="81" w:name="_Toc521658164"/>
      <w:r>
        <w:t>„Joghatás” vagy „hasonlóképpen jelentős” hatás</w:t>
      </w:r>
      <w:bookmarkEnd w:id="79"/>
      <w:bookmarkEnd w:id="80"/>
      <w:bookmarkEnd w:id="81"/>
    </w:p>
    <w:p w:rsidR="00AF3592" w:rsidRDefault="00AF3592" w:rsidP="00AF3592">
      <w:pPr>
        <w:spacing w:line="240" w:lineRule="auto"/>
        <w:rPr>
          <w:rFonts w:ascii="Times New Roman" w:hAnsi="Times New Roman"/>
        </w:rPr>
      </w:pPr>
      <w:r>
        <w:rPr>
          <w:rFonts w:ascii="Times New Roman" w:hAnsi="Times New Roman"/>
        </w:rPr>
        <w:t>A GDPR az automatizált döntéshozatalt, ideértve a profilalkotást is, úgy ismeri el, mint ami súlyos következményekkel járhat a természetes személyekre nézve. A GDPR nem határozza meg a „joghatás” vagy a „hasonlóképpen jelentős” fogalmakat, azonban a megfogalmazás egyértelművé teszi, hogy a 22. cikk csak a súlyos következmén</w:t>
      </w:r>
      <w:r w:rsidR="00FC3028">
        <w:rPr>
          <w:rFonts w:ascii="Times New Roman" w:hAnsi="Times New Roman"/>
        </w:rPr>
        <w:t>yt jelentő hatásokra terjed ki.</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„Joghatással járó döntés”</w:t>
      </w:r>
    </w:p>
    <w:p w:rsidR="00AF3592" w:rsidRPr="00A25160" w:rsidRDefault="00AF3592" w:rsidP="00AF3592">
      <w:pPr>
        <w:spacing w:line="240" w:lineRule="auto"/>
        <w:rPr>
          <w:rFonts w:ascii="Times New Roman" w:hAnsi="Times New Roman"/>
        </w:rPr>
      </w:pPr>
      <w:r>
        <w:rPr>
          <w:rFonts w:ascii="Times New Roman" w:hAnsi="Times New Roman"/>
        </w:rPr>
        <w:t>A joghatás megköveteli, hogy a döntés, amely kizárólag automatizált adatkezelésen alapul, befolyásolja valaki törvényes jogait, például az egyesülés szabadsága, a választáson való szavazás joga vagy a jogi eljárás indításához való jog tekintetében. Joghatás lehet olyasmi is, ami befolyásolja a személy jogállását vagy szerződésen alapuló jogait. Az ilyen jellegű hatásra való példák közé tartoznak a természetes személyekre vonatkozó azon automatizált döntések, amik eredményeként:</w:t>
      </w:r>
    </w:p>
    <w:p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szerződést mondanak fel;</w:t>
      </w:r>
    </w:p>
    <w:p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a törvény által biztosított adott szociális ellátást – például gyermekkel kapcsolatos vagy lakhatási támogatást – ítélnek oda vagy tagadnak meg;</w:t>
      </w:r>
    </w:p>
    <w:p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megtagadják a belépést egy országba vagy megtagadják az állampolgárságot.</w:t>
      </w:r>
    </w:p>
    <w:p w:rsidR="00FC0E4C"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„Őt érintő hasonlóképpen jelentős mérték”</w:t>
      </w:r>
    </w:p>
    <w:p w:rsidR="00AF3592" w:rsidRDefault="00AF3592" w:rsidP="00AF3592">
      <w:pPr>
        <w:spacing w:before="240" w:line="240" w:lineRule="auto"/>
        <w:jc w:val="both"/>
        <w:rPr>
          <w:rFonts w:ascii="Times New Roman" w:hAnsi="Times New Roman"/>
        </w:rPr>
      </w:pPr>
      <w:r>
        <w:rPr>
          <w:rFonts w:ascii="Times New Roman" w:hAnsi="Times New Roman"/>
        </w:rPr>
        <w:lastRenderedPageBreak/>
        <w:t>Még akkor is, ha a döntéshozatali folyamat nincs hatással az emberek törvényes jogaira, az mégis a 22. cikk hatálya alá tartozhat, ha olyan hatást eredményez, amely a befolyását tekintve ugyanolya</w:t>
      </w:r>
      <w:r w:rsidR="00FC3028">
        <w:rPr>
          <w:rFonts w:ascii="Times New Roman" w:hAnsi="Times New Roman"/>
        </w:rPr>
        <w:t>n vagy hasonlóképpen jelentős.</w:t>
      </w:r>
    </w:p>
    <w:p w:rsidR="00AF3592" w:rsidRDefault="00AF3592" w:rsidP="00AF3592">
      <w:pPr>
        <w:spacing w:before="240" w:line="240" w:lineRule="auto"/>
        <w:rPr>
          <w:rFonts w:ascii="Times New Roman" w:hAnsi="Times New Roman"/>
        </w:rPr>
      </w:pPr>
      <w:r>
        <w:rPr>
          <w:rFonts w:ascii="Times New Roman" w:hAnsi="Times New Roman"/>
        </w:rPr>
        <w:t>Más szavakkal, még akkor is, ha nincs változás a törvényes jogaikban vagy kötelezettségeikben, az elegendő mértékben befolyásolja az érintetteket ahhoz, hogy megköveteljék az e rendelkezés szerinti védelmet. A GDPR hozzákapcsolja a „hasonlóképpen” kifejezést (ami nem szerepel a 95/46/EK irányelv 15. cikkében) a „jelentős mértékben befolyásolja” kifejezéshez. Ezért a</w:t>
      </w:r>
      <w:r>
        <w:rPr>
          <w:rFonts w:ascii="Times New Roman" w:hAnsi="Times New Roman"/>
          <w:i/>
        </w:rPr>
        <w:t xml:space="preserve"> jelentőség </w:t>
      </w:r>
      <w:r>
        <w:rPr>
          <w:rFonts w:ascii="Times New Roman" w:hAnsi="Times New Roman"/>
        </w:rPr>
        <w:t>küszöbértékének hasonlónak kell lennie, mint egy joghatással járó döntés küszöbértékének.</w:t>
      </w:r>
    </w:p>
    <w:p w:rsidR="00AF3592" w:rsidRDefault="00AF3592" w:rsidP="00AF3592">
      <w:pPr>
        <w:spacing w:after="0" w:line="240" w:lineRule="auto"/>
        <w:rPr>
          <w:rFonts w:ascii="Times New Roman" w:hAnsi="Times New Roman"/>
        </w:rPr>
      </w:pPr>
      <w:r>
        <w:rPr>
          <w:rFonts w:ascii="Times New Roman" w:hAnsi="Times New Roman"/>
        </w:rPr>
        <w:t>A (71) preambulumbekezdés az alábbi jellemző példákat adja: „egy online hitelkérelem automatikus elutasítása” vagy „emberi beavatkozás nélkül folyta</w:t>
      </w:r>
      <w:r w:rsidR="00FC3028">
        <w:rPr>
          <w:rFonts w:ascii="Times New Roman" w:hAnsi="Times New Roman"/>
        </w:rPr>
        <w:t>tott online munkaerő-toborzás”.</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Ahhoz, hogy az adatkezelés jelentős mértékben érintsen valakit, az adatkezelés hatásának kellően nagynak vagy fontosnak kell lennie ahhoz, hogy figyelmet érdemeljen. Más szóval, a döntésnek képesnek kell lennie arra, hogy:</w:t>
      </w:r>
    </w:p>
    <w:p w:rsidR="001E020F" w:rsidRDefault="001E020F" w:rsidP="00AF3592">
      <w:pPr>
        <w:spacing w:after="0" w:line="240" w:lineRule="auto"/>
        <w:rPr>
          <w:rFonts w:ascii="Times New Roman" w:hAnsi="Times New Roman"/>
        </w:rPr>
      </w:pPr>
    </w:p>
    <w:p w:rsidR="00AF3592" w:rsidRDefault="00AF3592" w:rsidP="00AF3592">
      <w:pPr>
        <w:pStyle w:val="ListParagraph"/>
        <w:numPr>
          <w:ilvl w:val="0"/>
          <w:numId w:val="57"/>
        </w:numPr>
        <w:spacing w:after="0" w:line="240" w:lineRule="auto"/>
        <w:rPr>
          <w:rFonts w:ascii="Times New Roman" w:hAnsi="Times New Roman"/>
        </w:rPr>
      </w:pPr>
      <w:r>
        <w:rPr>
          <w:rFonts w:ascii="TimesNewRomanPSMT" w:hAnsi="TimesNewRomanPSMT"/>
          <w:color w:val="000000"/>
        </w:rPr>
        <w:t>jelentősen befolyásolja az érintett természetes személyek körülményeit, viselkedését vagy választásait</w:t>
      </w:r>
      <w:r>
        <w:rPr>
          <w:rFonts w:ascii="Times New Roman" w:hAnsi="Times New Roman"/>
        </w:rPr>
        <w:t>;</w:t>
      </w:r>
    </w:p>
    <w:p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hosszan tartó vagy tartós hatást gyakoroljon az érintettre; vagy</w:t>
      </w:r>
    </w:p>
    <w:p w:rsidR="00AF3592" w:rsidRPr="005A1738"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a legszélsőségesebb esetben</w:t>
      </w:r>
      <w:r>
        <w:t xml:space="preserve"> </w:t>
      </w:r>
      <w:r>
        <w:rPr>
          <w:rFonts w:ascii="TimesNewRomanPSMT" w:hAnsi="TimesNewRomanPSMT"/>
          <w:color w:val="000000"/>
        </w:rPr>
        <w:t>természetes személyek kirekesztéséhez vagy hátrányos</w:t>
      </w:r>
      <w:r w:rsidR="00FC3028">
        <w:rPr>
          <w:rFonts w:ascii="TimesNewRomanPSMT" w:hAnsi="TimesNewRomanPSMT"/>
          <w:color w:val="000000"/>
        </w:rPr>
        <w:t xml:space="preserve"> megkülönböztetéséhez vezessen.</w:t>
      </w:r>
    </w:p>
    <w:p w:rsidR="00AF3592" w:rsidRPr="005F3530" w:rsidRDefault="00AF3592" w:rsidP="00AF3592">
      <w:pPr>
        <w:spacing w:after="0" w:line="240" w:lineRule="auto"/>
        <w:jc w:val="both"/>
        <w:rPr>
          <w:rFonts w:ascii="Times New Roman" w:hAnsi="Times New Roman"/>
        </w:rPr>
      </w:pPr>
    </w:p>
    <w:p w:rsidR="00AF3592" w:rsidRDefault="00AF3592" w:rsidP="00AF3592">
      <w:pPr>
        <w:spacing w:line="240" w:lineRule="auto"/>
        <w:rPr>
          <w:rFonts w:ascii="Times New Roman" w:hAnsi="Times New Roman"/>
        </w:rPr>
      </w:pPr>
      <w:r>
        <w:rPr>
          <w:rFonts w:ascii="Times New Roman" w:hAnsi="Times New Roman"/>
        </w:rPr>
        <w:t>Nehéz pontosan meghatározni, hogy mit kell kellően</w:t>
      </w:r>
      <w:r>
        <w:rPr>
          <w:rFonts w:ascii="Times New Roman" w:hAnsi="Times New Roman"/>
          <w:i/>
        </w:rPr>
        <w:t xml:space="preserve"> jelentős mértékűnek </w:t>
      </w:r>
      <w:r>
        <w:rPr>
          <w:rFonts w:ascii="Times New Roman" w:hAnsi="Times New Roman"/>
        </w:rPr>
        <w:t>tekinteni ahhoz, hogy elérje küszöböt, azonban a következő döntések e</w:t>
      </w:r>
      <w:r w:rsidR="00FC3028">
        <w:rPr>
          <w:rFonts w:ascii="Times New Roman" w:hAnsi="Times New Roman"/>
        </w:rPr>
        <w:t>bbe a kategóriába tartozhatnak:</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az egyén anyagi körülményeit befolyásoló döntések, például a hitelre való jogosultságát illetően;</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olyan döntések, amelyek befolyásolják az egyén egészségügyi szolgáltatásokhoz való hozzáférését;</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olyan döntések, amelyek megtagadnak valakitől egy foglalkoztatási lehetőséget, vagy valakit súlyos hátránynak tesznek ki;</w:t>
      </w:r>
    </w:p>
    <w:p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döntések, amely befolyásolják valakinek az oktatáshoz való hozzáférését, például: egyetemi felvétel.</w:t>
      </w:r>
    </w:p>
    <w:p w:rsidR="00AF3592" w:rsidRDefault="00AF3592" w:rsidP="00AF3592">
      <w:pPr>
        <w:spacing w:before="240" w:line="240" w:lineRule="auto"/>
        <w:rPr>
          <w:rFonts w:ascii="Times New Roman" w:hAnsi="Times New Roman"/>
        </w:rPr>
      </w:pPr>
      <w:r>
        <w:rPr>
          <w:rFonts w:ascii="Times New Roman" w:hAnsi="Times New Roman"/>
        </w:rPr>
        <w:t>Ez elvezet minket az online reklám kérdéséhez, amely egyre inkább támaszkodik automatizált eszközökre, és kizárólag automatizált egyedi döntéshozatalt foglal magában. Amellett, hogy meg kell felelnie az GDPR általános rendelkezéseinek, amelyekkel a III. fejezet foglalkozik, az elektronikus hírközlési adatvédelmi rendelet rendelkezései szintén relevánsak lehetnek. Ezen túlmenően a gyermekek fokozott védelmet igényelnek, amint ezt az V. fejezet kifejti.</w:t>
      </w:r>
    </w:p>
    <w:p w:rsidR="00AF3592" w:rsidRDefault="00AF3592" w:rsidP="00AF3592">
      <w:pPr>
        <w:spacing w:before="240" w:line="240" w:lineRule="auto"/>
        <w:rPr>
          <w:rFonts w:ascii="Times New Roman" w:hAnsi="Times New Roman"/>
        </w:rPr>
      </w:pPr>
      <w:r>
        <w:rPr>
          <w:rFonts w:ascii="Times New Roman" w:hAnsi="Times New Roman"/>
        </w:rPr>
        <w:t>Sok tipikus esetben a profilalkotáson alapuló célzott reklám bemutatására vonatkozó döntésnek nem lesz hasonlóan jelentős mértékű hatása a természetes személyekre; ilyen lehet például egy vezető online divatüzlet reklámra, amely egyszerű demográfiai profilon alapul: „25 és 35 év közötti nők a brüsszeli régióban, akiket valószínűleg érdekel a d</w:t>
      </w:r>
      <w:r w:rsidR="00FC3028">
        <w:rPr>
          <w:rFonts w:ascii="Times New Roman" w:hAnsi="Times New Roman"/>
        </w:rPr>
        <w:t>ivat és egyes ruházati cikkek”.</w:t>
      </w:r>
    </w:p>
    <w:p w:rsidR="00AF3592" w:rsidRDefault="00AF3592" w:rsidP="00AF3592">
      <w:pPr>
        <w:spacing w:before="240" w:line="240" w:lineRule="auto"/>
        <w:rPr>
          <w:rFonts w:ascii="Times New Roman" w:hAnsi="Times New Roman"/>
        </w:rPr>
      </w:pPr>
      <w:r>
        <w:rPr>
          <w:rFonts w:ascii="Times New Roman" w:hAnsi="Times New Roman"/>
        </w:rPr>
        <w:t>Azonban elképzelhető, hogy lehet ilyen hatása az eset sajátos jellemzőitől függően, ideértve:</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a profilalkotási folyamat tolakodó jellegét, beleértve a természetes személyek nyomon követését különböző weboldalakon, eszközökön és szolgáltatásokon keresztül;</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az érintett természetes személyek elvárásait és kívánságait;</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a hirdetés közlésének módját; vagy </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a célba vett érintettek sebezhetőségére vona</w:t>
      </w:r>
      <w:r w:rsidR="00FC3028">
        <w:rPr>
          <w:rFonts w:ascii="Times New Roman" w:hAnsi="Times New Roman"/>
        </w:rPr>
        <w:t>tkozó ismeretek felhasználását.</w:t>
      </w:r>
    </w:p>
    <w:p w:rsidR="00AF3592" w:rsidRPr="00E73FD5" w:rsidRDefault="00AF3592" w:rsidP="00AF3592">
      <w:pPr>
        <w:spacing w:before="240" w:line="240" w:lineRule="auto"/>
        <w:rPr>
          <w:rFonts w:ascii="Times New Roman" w:hAnsi="Times New Roman"/>
        </w:rPr>
      </w:pPr>
      <w:r>
        <w:rPr>
          <w:rFonts w:ascii="Times New Roman" w:hAnsi="Times New Roman"/>
        </w:rPr>
        <w:lastRenderedPageBreak/>
        <w:t>Az olyan adatkezelés, amelynek általában kis hatása lehet a természetes személyekre, jelentős hatást gyakorolhat a társadalom bizonyos csoportjaira, például a kisebbségi csoportokra vagy a kiszolgáltatott helyzetű felnőttekre. Például ha valakit, akiről az információk szerint vagy valószínűsíthetően pénzügyi nehézségekkel küzd, rendszeresen magas kamatozású hitelekről szóló hirdetésekkel vesznek célba, és ő elfogadja az ilyen ajánlatokat, akkor potenciálisan további adósságot halmoz fel.</w:t>
      </w:r>
    </w:p>
    <w:p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rPr>
        <w:t>A személyes adatokon vagy személyes jellemzőkön alapuló megkülönböztető árazást eredményező automatizált döntéshozatalnak is jelentős hatása lehet akkor, ha például a büntető jellegű magas árak ténylegesen megakadályozzák, hogy valaki igénybe vegyen bizonyos árukat vagy szolgáltatásokat.</w:t>
      </w:r>
    </w:p>
    <w:p w:rsidR="00AF3592" w:rsidRDefault="00AF3592" w:rsidP="00AF3592">
      <w:pPr>
        <w:spacing w:line="240" w:lineRule="auto"/>
        <w:rPr>
          <w:rFonts w:ascii="Times New Roman" w:hAnsi="Times New Roman"/>
        </w:rPr>
      </w:pPr>
      <w:r>
        <w:rPr>
          <w:rFonts w:ascii="Times New Roman" w:hAnsi="Times New Roman"/>
        </w:rPr>
        <w:t>Hasonlóképpen jelentős hatást válthatnak ki az automatizált döntés érintettjétől eltérő természetes személyek intézkedései is. Ezt az alábbi példa mutatja be.</w:t>
      </w:r>
    </w:p>
    <w:p w:rsidR="00A25160" w:rsidRDefault="00A25160" w:rsidP="00AF3592">
      <w:pPr>
        <w:spacing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Példa</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Elméletileg egy hitelkártya-társaság eljárhat úgy, hogy egy ügyfél kártyalimitjét nem az adott ügyfél saját visszafizetési előzményei alapján, hanem nem hagyományos hitelképességi kritériumok alapján csökkenti, például az ugyanazon a területen lakó és ugyanazokban az áruházakban vásároló</w:t>
      </w:r>
      <w:r w:rsidR="00FC3028">
        <w:rPr>
          <w:rFonts w:ascii="Times New Roman" w:hAnsi="Times New Roman"/>
        </w:rPr>
        <w:t xml:space="preserve"> más ügyfelek elemzése alapján.</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Ez azt jelentheti, hogy valakit mások cselekedetei alapjá</w:t>
      </w:r>
      <w:r w:rsidR="00FC3028">
        <w:rPr>
          <w:rFonts w:ascii="Times New Roman" w:hAnsi="Times New Roman"/>
        </w:rPr>
        <w:t>n fosztanak meg lehetőségektől.</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Eltérő összefüggésben az ilyen típusú jellemzők felhasználása azzal az előnnyel járhatna, hogy hitelt nyújtanak olyanoknak, akiknek nincs hagyományos hitelezési előzménye, és akiket</w:t>
      </w:r>
      <w:r w:rsidR="00FC3028">
        <w:rPr>
          <w:rFonts w:ascii="Times New Roman" w:hAnsi="Times New Roman"/>
        </w:rPr>
        <w:t xml:space="preserve"> egyébként elutasítottak volna.</w:t>
      </w:r>
    </w:p>
    <w:p w:rsidR="00AF3592" w:rsidRPr="004F1F21" w:rsidRDefault="00AF3592" w:rsidP="00AF3592">
      <w:pPr>
        <w:pStyle w:val="Heading2"/>
      </w:pPr>
      <w:bookmarkStart w:id="82" w:name="_Prohibition"/>
      <w:bookmarkStart w:id="83" w:name="_Limited_conditions_for"/>
      <w:bookmarkStart w:id="84" w:name="_Toc504568072"/>
      <w:bookmarkStart w:id="85" w:name="_Toc521658165"/>
      <w:bookmarkEnd w:id="82"/>
      <w:bookmarkEnd w:id="83"/>
      <w:r>
        <w:t>Kivételek a tilalom alól</w:t>
      </w:r>
      <w:bookmarkEnd w:id="84"/>
      <w:bookmarkEnd w:id="85"/>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A fent írtak szerint a 22. cikk (1) bekezdése általános tilalmat emel a joghatással vagy hasonlóképpen jelentős hatással járó kizárólag automatizált e</w:t>
      </w:r>
      <w:r w:rsidR="00FC3028">
        <w:rPr>
          <w:rFonts w:ascii="Times New Roman" w:hAnsi="Times New Roman"/>
        </w:rPr>
        <w:t>gyedi döntéshozatallal szemben.</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Ez azt jelenti, hogy az adatkezelő csak akkor végezhet a 22. cikk (1) bekezdésében leírt adatkezelést, ha a 22. cikk (2) bekezdésében szereplő valamelyik kivétel fennáll – ha a döntés:</w:t>
      </w:r>
    </w:p>
    <w:p w:rsidR="00AF3592" w:rsidRPr="004F1F21" w:rsidRDefault="00AF3592" w:rsidP="00AF3592">
      <w:pPr>
        <w:spacing w:after="0" w:line="240" w:lineRule="auto"/>
        <w:jc w:val="both"/>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szerződés megkötése vagy teljesítése érdekében szükséges;</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b) meghozatalát az adatkezelőre alkalmazandó olyan uniós vagy tagállami jog teszi lehetővé, amely az érintett jogainak és szabadságainak, valamint jogos érdekeinek védelmét szolgáló megfelelő intézkedéseket is megállapít; vagy</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az érintett kifejezett hozzájárulásán alapul.</w:t>
      </w:r>
    </w:p>
    <w:p w:rsidR="00AF3592" w:rsidRDefault="00AF3592" w:rsidP="00AF3592">
      <w:pPr>
        <w:spacing w:after="0" w:line="240" w:lineRule="auto"/>
        <w:jc w:val="both"/>
        <w:rPr>
          <w:rFonts w:ascii="Times New Roman" w:hAnsi="Times New Roman"/>
        </w:rPr>
      </w:pPr>
    </w:p>
    <w:p w:rsidR="00695986" w:rsidRPr="004F1F21" w:rsidRDefault="00695986" w:rsidP="00AF3592">
      <w:pPr>
        <w:spacing w:after="0" w:line="240" w:lineRule="auto"/>
        <w:jc w:val="both"/>
        <w:rPr>
          <w:rFonts w:ascii="Times New Roman" w:hAnsi="Times New Roman"/>
        </w:rPr>
      </w:pPr>
      <w:r>
        <w:rPr>
          <w:rFonts w:ascii="Times New Roman" w:hAnsi="Times New Roman"/>
        </w:rPr>
        <w:t>Ha a döntéshozatal a 9. cikk (1) bekezdésében meghatározott különleges adatkategóriákat érinti, az adatkezelőnek biztosítania kell a 22. cikk (4) bekezdése követelményeinek való megfelelést is.</w:t>
      </w:r>
    </w:p>
    <w:p w:rsidR="00AF3592" w:rsidRDefault="00AF3592" w:rsidP="00AF3592">
      <w:pPr>
        <w:pStyle w:val="Heading3"/>
      </w:pPr>
      <w:bookmarkStart w:id="86" w:name="_Performance_of_a"/>
      <w:bookmarkStart w:id="87" w:name="_Toc504568073"/>
      <w:bookmarkStart w:id="88" w:name="_Toc521658166"/>
      <w:bookmarkEnd w:id="86"/>
      <w:r>
        <w:t>Szerződés teljesítése</w:t>
      </w:r>
      <w:bookmarkEnd w:id="87"/>
      <w:bookmarkEnd w:id="88"/>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Az adatkezelők használhatnak kizárólag automatizált döntéshozatali folyamatokat szerződéses célokra, ha úgy vélik, hogy ez a legmegfelelőbb mód a cél eléréséhez. A rutinszerű emberi beavatkozás néha egyszerűen a kezelt adatok puszta mennyisége miatt céls</w:t>
      </w:r>
      <w:r w:rsidR="00FC3028">
        <w:rPr>
          <w:rFonts w:ascii="Times New Roman" w:hAnsi="Times New Roman"/>
        </w:rPr>
        <w:t>zerűtlen vagy lehetetlen lehet.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lastRenderedPageBreak/>
        <w:t>Az adatkezelőnek be kell tudnia mutatni, hogy az ilyen típusú adatkezelés szükséges, figyelembe véve azt, hogy alkalmazható-e a magánéletbe kevésbé beavatkozó módszer.</w:t>
      </w:r>
      <w:r>
        <w:rPr>
          <w:rStyle w:val="FootnoteReference"/>
          <w:rFonts w:ascii="Times New Roman" w:hAnsi="Times New Roman"/>
        </w:rPr>
        <w:t xml:space="preserve"> </w:t>
      </w:r>
      <w:r>
        <w:rPr>
          <w:rStyle w:val="FootnoteReference"/>
          <w:rFonts w:ascii="Times New Roman" w:hAnsi="Times New Roman"/>
        </w:rPr>
        <w:footnoteReference w:id="36"/>
      </w:r>
      <w:r w:rsidR="00573612">
        <w:rPr>
          <w:rFonts w:ascii="Times New Roman" w:hAnsi="Times New Roman"/>
        </w:rPr>
        <w:t xml:space="preserve"> </w:t>
      </w:r>
      <w:r>
        <w:rPr>
          <w:rFonts w:ascii="Times New Roman" w:hAnsi="Times New Roman"/>
        </w:rPr>
        <w:t>Ha más hatékony és kevésbé tolakodó eszközökkel el lehet érni ugyanazt a célt, akkor az nem minősül „szükségesnek”.</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 22. cikk (1) bekezdésében írt automatizált döntéshozatal szükséges lehet a szerződéskötést megelőző adatkezeléshez.</w:t>
      </w:r>
    </w:p>
    <w:p w:rsidR="00AF3592" w:rsidRDefault="00AF3592" w:rsidP="00AF3592">
      <w:pPr>
        <w:spacing w:after="0" w:line="240" w:lineRule="auto"/>
        <w:jc w:val="both"/>
        <w:rPr>
          <w:rFonts w:ascii="Times New Roman" w:hAnsi="Times New Roman"/>
        </w:rPr>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Példa</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Pr>
          <w:rFonts w:ascii="Times New Roman" w:hAnsi="Times New Roman"/>
          <w:sz w:val="22"/>
        </w:rPr>
        <w:t>Egy vállalkozás egy betöltetlen munkakört hirdet. Mivel a kérdéses vállalkozás népszerű mint munkáltató, a vállalkozáshoz több ezer pályázat érkezik be. A pályázatok kivételesen magas száma miatt a vállalkozás úgy gondolhatja, hogy a megfelelő jelöltek kiválasztása gyakorlatilag lehetetlen, ha nem alkalmaznak először teljesen automatizált eszközöket a nem releváns pályázatok kiszűrésére. Ebben az esetben automatizált döntéshozatalra lehet szükség annak érdekében, hogy az előválogatott jelöltekről listát készítsenek azzal a szándékkal, hogy szerződést kössenek az érintettel.</w:t>
      </w:r>
    </w:p>
    <w:p w:rsidR="00AF3592" w:rsidRDefault="00AF3592" w:rsidP="00AF3592">
      <w:pPr>
        <w:spacing w:after="0" w:line="240" w:lineRule="auto"/>
        <w:jc w:val="both"/>
        <w:rPr>
          <w:rFonts w:ascii="Times New Roman" w:hAnsi="Times New Roman"/>
        </w:rPr>
      </w:pPr>
    </w:p>
    <w:p w:rsidR="00AF3592" w:rsidRDefault="00695986" w:rsidP="00AF3592">
      <w:pPr>
        <w:spacing w:after="0" w:line="240" w:lineRule="auto"/>
        <w:jc w:val="both"/>
        <w:rPr>
          <w:rFonts w:ascii="Times New Roman" w:hAnsi="Times New Roman"/>
        </w:rPr>
      </w:pPr>
      <w:r>
        <w:rPr>
          <w:rFonts w:ascii="Times New Roman" w:hAnsi="Times New Roman"/>
        </w:rPr>
        <w:t>A III. fejezet (B. szakasz) további információt tartalmaz a szerződésről mint az adatkezelés jogszerű alapjáról.</w:t>
      </w:r>
    </w:p>
    <w:p w:rsidR="00AF3592" w:rsidRDefault="00AF3592" w:rsidP="00AF3592">
      <w:pPr>
        <w:pStyle w:val="Heading3"/>
      </w:pPr>
      <w:bookmarkStart w:id="89" w:name="_Toc504568074"/>
      <w:bookmarkStart w:id="90" w:name="_Toc521658167"/>
      <w:r>
        <w:t>Uniós vagy tagállami jog által engedélyezett</w:t>
      </w:r>
      <w:bookmarkEnd w:id="89"/>
      <w:bookmarkEnd w:id="90"/>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Sor kerülhet automatizált döntéshozatal – ideértve a profilalkotást is – alkalmazására a 22. cikk (2) bekezdésének b) pontja alapján, amennyiben uniós vagy tagállami jogszabály engedélyezi az alkalmazását. A vonatkozó jogszabálynak az érintettek jogait és szabadságait, valamint jogos érdekeit védő megfelelő intézkedéseket is meg kell határoznia.</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 (71) preambulumbekezdés szerint ez magában foglalhatja a 22. cikk (1) bekezdésében írt automatizált döntéshozatalt a csalás és az adókijátszás megelőzése, illetve az adatkezelő által nyújtott szolgáltatás biztonságának és megbízható</w:t>
      </w:r>
      <w:r w:rsidR="00FC3028">
        <w:rPr>
          <w:rFonts w:ascii="Times New Roman" w:hAnsi="Times New Roman"/>
        </w:rPr>
        <w:t>ságának biztosítása érdekében.</w:t>
      </w:r>
    </w:p>
    <w:p w:rsidR="00AF3592" w:rsidRDefault="00AF3592" w:rsidP="00AF3592">
      <w:pPr>
        <w:spacing w:after="0" w:line="240" w:lineRule="auto"/>
        <w:jc w:val="both"/>
        <w:rPr>
          <w:rFonts w:ascii="Times New Roman" w:hAnsi="Times New Roman"/>
        </w:rPr>
      </w:pPr>
    </w:p>
    <w:p w:rsidR="00AF3592" w:rsidRDefault="00AF3592" w:rsidP="00AF3592">
      <w:pPr>
        <w:pStyle w:val="Heading3"/>
      </w:pPr>
      <w:bookmarkStart w:id="91" w:name="_Explicit_consent"/>
      <w:bookmarkStart w:id="92" w:name="_Toc504568075"/>
      <w:bookmarkStart w:id="93" w:name="_Toc521658168"/>
      <w:bookmarkEnd w:id="91"/>
      <w:r>
        <w:t>Kifejezett hozzájárulás</w:t>
      </w:r>
      <w:bookmarkEnd w:id="92"/>
      <w:bookmarkEnd w:id="93"/>
    </w:p>
    <w:p w:rsidR="00AF3592" w:rsidRDefault="00AF3592" w:rsidP="00AF3592">
      <w:pPr>
        <w:spacing w:line="240" w:lineRule="auto"/>
        <w:rPr>
          <w:rFonts w:ascii="Times New Roman" w:hAnsi="Times New Roman"/>
        </w:rPr>
      </w:pPr>
      <w:r>
        <w:rPr>
          <w:rFonts w:ascii="Times New Roman" w:hAnsi="Times New Roman"/>
        </w:rPr>
        <w:t xml:space="preserve">A 22. cikk </w:t>
      </w:r>
      <w:r>
        <w:rPr>
          <w:rFonts w:ascii="Times New Roman" w:hAnsi="Times New Roman"/>
          <w:i/>
        </w:rPr>
        <w:t xml:space="preserve">kifejezett </w:t>
      </w:r>
      <w:r>
        <w:rPr>
          <w:rFonts w:ascii="Times New Roman" w:hAnsi="Times New Roman"/>
        </w:rPr>
        <w:t>hozzájárulást követel meg. A 22. cikk (1) bekezdésének meghatározása szerinti adatkezelés jelentős adatvédelmi kockázatot jelent, és ezért helyénvalónak tekinthető a személyes adatokra vonatkozó magas szintű egyéni rendelkezés biztosítása.</w:t>
      </w:r>
    </w:p>
    <w:p w:rsidR="00AF3592" w:rsidRDefault="00AF3592" w:rsidP="00AF3592">
      <w:pPr>
        <w:spacing w:line="240" w:lineRule="auto"/>
        <w:rPr>
          <w:rFonts w:ascii="Times New Roman" w:hAnsi="Times New Roman"/>
        </w:rPr>
      </w:pPr>
      <w:r>
        <w:rPr>
          <w:rFonts w:ascii="Times New Roman" w:hAnsi="Times New Roman"/>
        </w:rPr>
        <w:t>A GDPR nem határozza meg a „kifejezett hozzájárulás” fogalmát. A WP29 hozzájárulással kapcsolatos iránymutatása</w:t>
      </w:r>
      <w:r>
        <w:rPr>
          <w:rStyle w:val="FootnoteReference"/>
          <w:rFonts w:ascii="Times New Roman" w:hAnsi="Times New Roman"/>
        </w:rPr>
        <w:footnoteReference w:id="37"/>
      </w:r>
      <w:r>
        <w:rPr>
          <w:rFonts w:ascii="Times New Roman" w:hAnsi="Times New Roman"/>
        </w:rPr>
        <w:t xml:space="preserve"> útmu</w:t>
      </w:r>
      <w:r w:rsidR="00FC3028">
        <w:rPr>
          <w:rFonts w:ascii="Times New Roman" w:hAnsi="Times New Roman"/>
        </w:rPr>
        <w:t>tatást ad annak értelmezéséről.</w:t>
      </w:r>
    </w:p>
    <w:p w:rsidR="00AF3592" w:rsidRDefault="00AF3592" w:rsidP="00AF3592">
      <w:pPr>
        <w:spacing w:line="240" w:lineRule="auto"/>
        <w:rPr>
          <w:rFonts w:ascii="Times New Roman" w:hAnsi="Times New Roman"/>
        </w:rPr>
      </w:pPr>
      <w:r>
        <w:rPr>
          <w:rFonts w:ascii="Times New Roman" w:hAnsi="Times New Roman"/>
        </w:rPr>
        <w:t>A III. fejezet (B. szakasz)</w:t>
      </w:r>
      <w:r>
        <w:rPr>
          <w:rStyle w:val="Hyperlink"/>
          <w:rFonts w:ascii="Times New Roman" w:hAnsi="Times New Roman"/>
        </w:rPr>
        <w:t xml:space="preserve"> </w:t>
      </w:r>
      <w:r>
        <w:rPr>
          <w:rFonts w:ascii="Times New Roman" w:hAnsi="Times New Roman"/>
        </w:rPr>
        <w:t>bővebb információt ad a hozzájárulásról általában.</w:t>
      </w:r>
    </w:p>
    <w:p w:rsidR="00AF3592" w:rsidRDefault="00AF3592" w:rsidP="00AF3592">
      <w:pPr>
        <w:spacing w:line="240" w:lineRule="auto"/>
        <w:rPr>
          <w:rFonts w:ascii="Times New Roman" w:hAnsi="Times New Roman"/>
        </w:rPr>
      </w:pPr>
    </w:p>
    <w:p w:rsidR="00AF3592" w:rsidRDefault="00AF3592" w:rsidP="00AF3592">
      <w:pPr>
        <w:pStyle w:val="Heading2"/>
      </w:pPr>
      <w:bookmarkStart w:id="94" w:name="_Toc504568076"/>
      <w:bookmarkStart w:id="95" w:name="_Toc521658169"/>
      <w:r>
        <w:t>A személyes adatok különleges kategóriái: a 22. cikk (4) bekezdése</w:t>
      </w:r>
      <w:bookmarkEnd w:id="94"/>
      <w:bookmarkEnd w:id="95"/>
    </w:p>
    <w:p w:rsidR="00750770" w:rsidRDefault="00AF3592" w:rsidP="00750770">
      <w:pPr>
        <w:spacing w:line="240" w:lineRule="auto"/>
        <w:jc w:val="both"/>
        <w:rPr>
          <w:rFonts w:ascii="Times New Roman" w:hAnsi="Times New Roman"/>
        </w:rPr>
      </w:pPr>
      <w:r>
        <w:rPr>
          <w:rFonts w:ascii="Times New Roman" w:hAnsi="Times New Roman"/>
        </w:rPr>
        <w:t>A (22. cikk (1) bekezdésében leírt) automatizált döntéshozatal, amely a személyes adatok különleges kategóriáit érinti, csak a következő együttes feltételek megléte esetén megengedett (a 22. cikk (4) bekezdése):</w:t>
      </w:r>
    </w:p>
    <w:p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fennáll a 22. cikk (2) bekez</w:t>
      </w:r>
      <w:r w:rsidR="00FC3028">
        <w:rPr>
          <w:rFonts w:ascii="Times New Roman" w:hAnsi="Times New Roman"/>
        </w:rPr>
        <w:t>dése szerinti egyik kivétel; és</w:t>
      </w:r>
    </w:p>
    <w:p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 xml:space="preserve">a 9. cikk (2) bekezdésének </w:t>
      </w:r>
      <w:r w:rsidR="00FC3028">
        <w:rPr>
          <w:rFonts w:ascii="Times New Roman" w:hAnsi="Times New Roman"/>
        </w:rPr>
        <w:t>a) vagy g) pontja alkalmazandó.</w:t>
      </w:r>
    </w:p>
    <w:p w:rsidR="00AF3592" w:rsidRPr="00AF35BD" w:rsidRDefault="00AF3592" w:rsidP="0057361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a 9. cikk (2) bekezdésének a) pontja: az érintett</w:t>
      </w:r>
      <w:r w:rsidR="00FC3028">
        <w:rPr>
          <w:rFonts w:ascii="Times New Roman" w:hAnsi="Times New Roman"/>
        </w:rPr>
        <w:t xml:space="preserve"> kifejezett hozzájárulása; vagy</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a 9. cikk (2) bekezdésének g) pontja: az adatkezelés jelentős közérdek miatt szükséges, uniós jog vagy tagállami jog alapján, amely arányos az elérni kívánt céllal, tiszteletben tartja a személyes adatok védelméhez való jog lényeges tartalmát, és az érintett alapvető jogainak és érdekeinek biztosítására megfelelő és</w:t>
      </w:r>
      <w:r w:rsidR="00FC3028">
        <w:rPr>
          <w:rFonts w:ascii="Times New Roman" w:hAnsi="Times New Roman"/>
        </w:rPr>
        <w:t xml:space="preserve"> konkrét intézkedéseket ír elő.</w:t>
      </w:r>
    </w:p>
    <w:p w:rsidR="00C54A89" w:rsidRPr="00FC3028" w:rsidRDefault="00582937" w:rsidP="00582937">
      <w:pPr>
        <w:spacing w:line="240" w:lineRule="auto"/>
        <w:rPr>
          <w:rFonts w:ascii="Times New Roman" w:hAnsi="Times New Roman"/>
        </w:rPr>
      </w:pPr>
      <w:r w:rsidRPr="00FC3028">
        <w:rPr>
          <w:rFonts w:ascii="Times New Roman" w:hAnsi="Times New Roman"/>
        </w:rPr>
        <w:t>Mindkét fenti esetben az adatkezelőnek megfelelő intézkedéseket is meg kell határoznia az érintettek jogai és szabadságai, valamint jogos érdekei védelmére.</w:t>
      </w:r>
    </w:p>
    <w:p w:rsidR="00582937" w:rsidRPr="00582937" w:rsidRDefault="00582937" w:rsidP="00582937">
      <w:pPr>
        <w:spacing w:line="240" w:lineRule="auto"/>
      </w:pPr>
    </w:p>
    <w:p w:rsidR="00AF3592" w:rsidRDefault="00AF3592" w:rsidP="00AF3592">
      <w:pPr>
        <w:pStyle w:val="Heading2"/>
      </w:pPr>
      <w:bookmarkStart w:id="96" w:name="_Rights_of_the"/>
      <w:bookmarkStart w:id="97" w:name="_Toc504568077"/>
      <w:bookmarkStart w:id="98" w:name="_Toc521658170"/>
      <w:bookmarkEnd w:id="96"/>
      <w:r>
        <w:t>Az érintett jogai</w:t>
      </w:r>
      <w:r>
        <w:rPr>
          <w:rStyle w:val="FootnoteReference"/>
        </w:rPr>
        <w:footnoteReference w:id="38"/>
      </w:r>
      <w:bookmarkEnd w:id="97"/>
      <w:bookmarkEnd w:id="98"/>
    </w:p>
    <w:p w:rsidR="00AF3592" w:rsidRPr="0015248F" w:rsidRDefault="00AF3592" w:rsidP="00AF3592">
      <w:pPr>
        <w:pStyle w:val="Heading3"/>
        <w:jc w:val="both"/>
      </w:pPr>
      <w:bookmarkStart w:id="99" w:name="_Articles_13(2)_(f)"/>
      <w:bookmarkStart w:id="100" w:name="_Toc504568078"/>
      <w:bookmarkStart w:id="101" w:name="_Toc521658171"/>
      <w:bookmarkEnd w:id="99"/>
      <w:r>
        <w:t>A 13. cikk (2) bekezdésének f) pontja és a 14. cikk (2) bekezdésének g) pontja: Tájékoztatáshoz való jog</w:t>
      </w:r>
      <w:bookmarkEnd w:id="100"/>
      <w:bookmarkEnd w:id="101"/>
    </w:p>
    <w:p w:rsidR="00F35E5E" w:rsidRDefault="00AF3592" w:rsidP="00AF3592">
      <w:pPr>
        <w:spacing w:line="240" w:lineRule="auto"/>
      </w:pPr>
      <w:r>
        <w:rPr>
          <w:rFonts w:ascii="Times New Roman" w:hAnsi="Times New Roman"/>
        </w:rPr>
        <w:t>Figyelemmel a 22. cikk szerinti profilalkotás által az érintettek jogaira gyakorolt kockázatokra és beavatkozásra, az adatkezelőknek különösen gondosan kell eljárnia az átláthatóság</w:t>
      </w:r>
      <w:r w:rsidR="000A6B2D">
        <w:rPr>
          <w:rFonts w:ascii="Times New Roman" w:hAnsi="Times New Roman"/>
        </w:rPr>
        <w:t>i kötelezettségek tekintetében.</w:t>
      </w:r>
    </w:p>
    <w:p w:rsidR="00AF3592" w:rsidRPr="000D10D1" w:rsidRDefault="00AF3592" w:rsidP="00AF3592">
      <w:pPr>
        <w:spacing w:line="240" w:lineRule="auto"/>
        <w:rPr>
          <w:rFonts w:ascii="Times New Roman" w:hAnsi="Times New Roman"/>
        </w:rPr>
      </w:pPr>
      <w:r>
        <w:rPr>
          <w:rFonts w:ascii="Times New Roman" w:hAnsi="Times New Roman"/>
        </w:rPr>
        <w:t>A 13. cikk (2) bekezdésének f) pontja és a 14. cikk (2) bekezdésének g) pontja megköveteli az adatkezelőtől, hogy könnyen hozzáférhető tájékoztatást adjon a kizárólag automatizált adatkezelésen alapuló, joghatással vagy hasonlóan jelentős hatással járó automatizált döntéshozatalról, ideértve a profilalkotást is</w:t>
      </w:r>
      <w:r>
        <w:rPr>
          <w:rStyle w:val="FootnoteReference"/>
          <w:rFonts w:ascii="Times New Roman" w:eastAsiaTheme="majorEastAsia" w:hAnsi="Times New Roman"/>
        </w:rPr>
        <w:footnoteReference w:id="39"/>
      </w:r>
      <w:r>
        <w:t>.</w:t>
      </w:r>
    </w:p>
    <w:p w:rsidR="00AF3592" w:rsidRDefault="00AF3592" w:rsidP="00AF3592">
      <w:pPr>
        <w:spacing w:line="240" w:lineRule="auto"/>
        <w:rPr>
          <w:rFonts w:ascii="Times New Roman" w:hAnsi="Times New Roman"/>
        </w:rPr>
      </w:pPr>
      <w:r>
        <w:rPr>
          <w:rFonts w:ascii="Times New Roman" w:hAnsi="Times New Roman"/>
        </w:rPr>
        <w:t>Ha az adatkezelő a 22. cikk (1) bekezdésében leírt automatizált</w:t>
      </w:r>
      <w:r w:rsidR="00FC3028">
        <w:rPr>
          <w:rFonts w:ascii="Times New Roman" w:hAnsi="Times New Roman"/>
        </w:rPr>
        <w:t xml:space="preserve"> döntéseket hoz, akkor köteles:</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közölni az érintettel, hogy ilyen típusú tevékenységet végez;</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érdemi tájékoztatást adni az alkalmazott logikáról; valamint</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bemutatni, hogy az ilyen adatkezelés milyen jelentőséggel és milyen várható következményekkel bír.</w:t>
      </w:r>
    </w:p>
    <w:p w:rsidR="00AF3592" w:rsidRDefault="00AF3592" w:rsidP="00AF3592">
      <w:pPr>
        <w:pStyle w:val="ListParagraph"/>
        <w:spacing w:after="0" w:line="240" w:lineRule="auto"/>
        <w:ind w:left="0"/>
        <w:jc w:val="both"/>
        <w:rPr>
          <w:rFonts w:ascii="Times New Roman" w:hAnsi="Times New Roman"/>
          <w:b/>
        </w:rPr>
      </w:pPr>
    </w:p>
    <w:p w:rsidR="00AF3592" w:rsidRDefault="00AF3592" w:rsidP="00AF3592">
      <w:pPr>
        <w:spacing w:line="240" w:lineRule="auto"/>
        <w:rPr>
          <w:rFonts w:ascii="Times New Roman" w:hAnsi="Times New Roman"/>
        </w:rPr>
      </w:pPr>
      <w:r>
        <w:rPr>
          <w:rFonts w:ascii="Times New Roman" w:hAnsi="Times New Roman"/>
        </w:rPr>
        <w:t>Ezen tájékoztatás megadása segíti az adatkezelőket biztosítani azt, hogy eleget tegyenek a 22. cikk (3) bekezdésében és a (71) preambulumbeke</w:t>
      </w:r>
      <w:r w:rsidR="00FC3028">
        <w:rPr>
          <w:rFonts w:ascii="Times New Roman" w:hAnsi="Times New Roman"/>
        </w:rPr>
        <w:t>zdésben írt egyes garanciáknak.</w:t>
      </w:r>
    </w:p>
    <w:p w:rsidR="00AF3592" w:rsidRDefault="00AF3592" w:rsidP="00AF3592">
      <w:pPr>
        <w:spacing w:line="240" w:lineRule="auto"/>
        <w:rPr>
          <w:rFonts w:ascii="Times New Roman" w:hAnsi="Times New Roman"/>
        </w:rPr>
      </w:pPr>
      <w:r>
        <w:rPr>
          <w:rFonts w:ascii="Times New Roman" w:hAnsi="Times New Roman"/>
        </w:rPr>
        <w:t xml:space="preserve">Ha az automatizált döntéshozatal és a profilalkotás nem felel meg a 22. cikk (1) bekezdésében szereplő meghatározásnak, akkor is helyes gyakorlat, ha megadják a fenti tájékoztatást. Az </w:t>
      </w:r>
      <w:r>
        <w:rPr>
          <w:rFonts w:ascii="Times New Roman" w:hAnsi="Times New Roman"/>
        </w:rPr>
        <w:lastRenderedPageBreak/>
        <w:t>adatkezelőnek mindenesetre elegendő információt kell adnia az érintettek számára ahhoz, hogy az adatkezelés tisztességes</w:t>
      </w:r>
      <w:r>
        <w:rPr>
          <w:rStyle w:val="FootnoteReference"/>
          <w:rFonts w:ascii="Times New Roman" w:hAnsi="Times New Roman"/>
        </w:rPr>
        <w:footnoteReference w:id="40"/>
      </w:r>
      <w:r>
        <w:rPr>
          <w:rFonts w:ascii="Times New Roman" w:hAnsi="Times New Roman"/>
        </w:rPr>
        <w:t xml:space="preserve"> legyen, és eleget kell tennie a 13. és 14. cikkek minden egyéb tá</w:t>
      </w:r>
      <w:r w:rsidR="00FC3028">
        <w:rPr>
          <w:rFonts w:ascii="Times New Roman" w:hAnsi="Times New Roman"/>
        </w:rPr>
        <w:t>jékoztatási követelményének is.</w:t>
      </w:r>
    </w:p>
    <w:p w:rsidR="00AF3592" w:rsidRPr="00874DE9" w:rsidRDefault="00AF3592" w:rsidP="00AF3592">
      <w:pPr>
        <w:jc w:val="both"/>
        <w:rPr>
          <w:rFonts w:ascii="Times New Roman" w:hAnsi="Times New Roman"/>
          <w:b/>
          <w:sz w:val="24"/>
          <w:szCs w:val="24"/>
        </w:rPr>
      </w:pPr>
      <w:r>
        <w:rPr>
          <w:rFonts w:ascii="Times New Roman" w:hAnsi="Times New Roman"/>
          <w:b/>
          <w:sz w:val="24"/>
        </w:rPr>
        <w:t>Érdemi tájékoztatás az „alkalmazott logikáról”</w:t>
      </w:r>
    </w:p>
    <w:p w:rsidR="00AF3592" w:rsidRDefault="00AF3592" w:rsidP="00AF3592">
      <w:pPr>
        <w:spacing w:line="240" w:lineRule="auto"/>
        <w:rPr>
          <w:rFonts w:ascii="Times New Roman" w:hAnsi="Times New Roman"/>
        </w:rPr>
      </w:pPr>
      <w:r>
        <w:rPr>
          <w:rFonts w:ascii="Times New Roman" w:hAnsi="Times New Roman"/>
        </w:rPr>
        <w:t>A gépi tanulás elterjedése és összetettsége miatt kihívást jelenthet annak megértése, hogyan működik egy automatizált döntéshozatali folyamat vagy profilalkotás.</w:t>
      </w:r>
    </w:p>
    <w:p w:rsidR="00AF3592" w:rsidRPr="000576BB" w:rsidRDefault="00AF3592" w:rsidP="00AF3592">
      <w:pPr>
        <w:spacing w:line="240" w:lineRule="auto"/>
        <w:rPr>
          <w:rFonts w:ascii="Times New Roman" w:hAnsi="Times New Roman"/>
        </w:rPr>
      </w:pPr>
      <w:r>
        <w:rPr>
          <w:rFonts w:ascii="Times New Roman" w:hAnsi="Times New Roman"/>
        </w:rPr>
        <w:t>Az adatkezelőnek egyszerű módszereket kell találnia arra, hogy bemutassa az érintetteknek a háttérben levő logikai alapot vagy a döntés meghozatala során alkalmazott szempontokat. A GDPR azt írja elő, hogy az adatkezelőknek érdemi információt kel adniuk az alkalmazott logikáról, nem pedig azt, hogy feltétlenül bonyolult magyarázatot kell nyújtaniuk az alkalmazott algoritmusokról vagy az algoritmust teljes egészében fel kell tárniuk</w:t>
      </w:r>
      <w:r>
        <w:rPr>
          <w:rStyle w:val="FootnoteReference"/>
          <w:rFonts w:ascii="Times New Roman" w:hAnsi="Times New Roman"/>
        </w:rPr>
        <w:footnoteReference w:id="41"/>
      </w:r>
      <w:r>
        <w:t>.</w:t>
      </w:r>
      <w:r w:rsidR="00FC3028">
        <w:rPr>
          <w:rFonts w:ascii="Times New Roman" w:hAnsi="Times New Roman"/>
        </w:rPr>
        <w:t xml:space="preserve"> </w:t>
      </w:r>
      <w:r>
        <w:rPr>
          <w:rFonts w:ascii="Times New Roman" w:hAnsi="Times New Roman"/>
        </w:rPr>
        <w:t>A megadott információnak azonban kellően átfogónak kell lennie az érintettek számára, hogy megértsék a döntés indokait.</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Példa</w:t>
            </w:r>
          </w:p>
          <w:p w:rsidR="00AF3592" w:rsidRDefault="00AF3592" w:rsidP="00AF3592">
            <w:pPr>
              <w:autoSpaceDE w:val="0"/>
              <w:autoSpaceDN w:val="0"/>
              <w:adjustRightInd w:val="0"/>
              <w:spacing w:after="0" w:line="240" w:lineRule="auto"/>
              <w:jc w:val="both"/>
              <w:rPr>
                <w:rFonts w:ascii="Times New Roman" w:hAnsi="Times New Roman"/>
                <w:b/>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Egy adatkezelő hitelképességi pontozást alkalmaz egy természetes személy hitelkérelmének elbírálására és elutasítására. A pontszám származhat egy hitelinformácós intézettől, vagy az is lehet, hogy azt közvetlenül az adatkezelő birtokában levő információk alapján számolták ki.</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Függetlenül az információ forrásától (amelyről tájékoztatni kell az érintettet a 14. cikk (2) bekezdésének f) pontja alapján, ha a személyes adatokat nem az érintettől szerezték be), amennyiben az adatkezelő az ilyen pontszámra támaszkodik, képesnek kell lennie arról és a logikai alapról az érintett</w:t>
            </w:r>
            <w:r w:rsidR="0039332D">
              <w:rPr>
                <w:rFonts w:ascii="Times New Roman" w:hAnsi="Times New Roman"/>
              </w:rPr>
              <w:t xml:space="preserve"> számára magyarázatot nyújtani.</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Az adatkezelő elmagyarázza, hogy ez a folyamat segít neki a tisztességes és felelős hitelezési döntések meghozatalában. Részletesen bemutatja a döntés meghozatala során figyelembe vett főbb jellemzőket, az ilyen információk forrását és relevanciáját. E körbe tartozhat például:</w:t>
            </w:r>
          </w:p>
          <w:p w:rsidR="00F35E5E" w:rsidRDefault="00F35E5E" w:rsidP="00AF3592">
            <w:pPr>
              <w:autoSpaceDE w:val="0"/>
              <w:autoSpaceDN w:val="0"/>
              <w:adjustRightInd w:val="0"/>
              <w:spacing w:after="0" w:line="240" w:lineRule="auto"/>
              <w:jc w:val="both"/>
              <w:rPr>
                <w:rFonts w:ascii="Times New Roman" w:hAnsi="Times New Roman"/>
              </w:rPr>
            </w:pP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az érintett által a k</w:t>
            </w:r>
            <w:r w:rsidR="0039332D">
              <w:rPr>
                <w:rFonts w:ascii="Times New Roman" w:hAnsi="Times New Roman"/>
              </w:rPr>
              <w:t>érelemben megadott információk;</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korábbi ügyfélmagatartásra vonatkozó információk, ideértve az esetleges fizetési hátralékokat; és</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hivatalos állami nyilvántartásokból származó információk, például csalási nyilvántartási és fizetésképtelenségi nyilvántartási adatok.</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Az adatkezelő arról is tájékoztatja az érintettet, hogy az alkalmazott hitelképességi pontozási módszereket rendszeresen tesztelik annak biztosítása érdekében, hogy azok továbbra is tisztességesek, haték</w:t>
            </w:r>
            <w:r w:rsidR="0039332D">
              <w:rPr>
                <w:rFonts w:ascii="Times New Roman" w:hAnsi="Times New Roman"/>
              </w:rPr>
              <w:t>onyak és pártatlanok legyenek.</w:t>
            </w:r>
          </w:p>
          <w:p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Az adatkezelő kapcsolattartási adatokat ad meg az érintettnek, ahol az kérheti az elutasító döntés felülvizsgálatát, összhangba</w:t>
            </w:r>
            <w:r w:rsidR="0039332D">
              <w:rPr>
                <w:rFonts w:ascii="Times New Roman" w:hAnsi="Times New Roman"/>
              </w:rPr>
              <w:t>n a 22. cikk (3) bekezdésével.</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„Jelentős</w:t>
      </w:r>
      <w:r w:rsidR="0039332D">
        <w:rPr>
          <w:rFonts w:ascii="Times New Roman" w:hAnsi="Times New Roman"/>
          <w:b/>
          <w:sz w:val="24"/>
        </w:rPr>
        <w:t>ég” és „várható következmények”</w:t>
      </w:r>
    </w:p>
    <w:p w:rsidR="00AF3592" w:rsidRDefault="00AF3592" w:rsidP="00AF3592">
      <w:pPr>
        <w:spacing w:line="240" w:lineRule="auto"/>
        <w:rPr>
          <w:rFonts w:ascii="Times New Roman" w:hAnsi="Times New Roman"/>
        </w:rPr>
      </w:pPr>
      <w:r>
        <w:rPr>
          <w:rFonts w:ascii="Times New Roman" w:hAnsi="Times New Roman"/>
        </w:rPr>
        <w:t>Ez a kifejezés arra utal, hogy információt kell szolgáltatni a tervezett vagy jövőbeni adatkezelésről, és hogy az automatizált döntéshozatal hogyan érintheti az érintetteket</w:t>
      </w:r>
      <w:r>
        <w:rPr>
          <w:rStyle w:val="FootnoteReference"/>
          <w:rFonts w:ascii="Times New Roman" w:hAnsi="Times New Roman"/>
        </w:rPr>
        <w:footnoteReference w:id="42"/>
      </w:r>
      <w:r>
        <w:t>.</w:t>
      </w:r>
      <w:r>
        <w:rPr>
          <w:rFonts w:ascii="Times New Roman" w:hAnsi="Times New Roman"/>
        </w:rPr>
        <w:t xml:space="preserve"> Ahhoz, hogy ez az információ érdemi és érthető legyen, a lehetséges hatásokra vonatkozó valós és kézzelfogható példákat kell megadni.</w:t>
      </w:r>
    </w:p>
    <w:p w:rsidR="00AF3592" w:rsidRDefault="00AF3592" w:rsidP="00AF3592">
      <w:pPr>
        <w:spacing w:line="240" w:lineRule="auto"/>
        <w:rPr>
          <w:rFonts w:ascii="Times New Roman" w:hAnsi="Times New Roman"/>
        </w:rPr>
      </w:pPr>
      <w:r>
        <w:rPr>
          <w:rFonts w:ascii="Times New Roman" w:hAnsi="Times New Roman"/>
        </w:rPr>
        <w:t>Digitális kontextusban az adatkezelők további eszközöket is használhatnak az ilyen hatások bemutatására.</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Példa</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Egy biztosító társaság az ügyfelek járművezetési magatartásának figyelemmel kísérésén alapuló automatizált döntéshozatali eljárást alkalmaz. Az adatkezelés jelentőségének és várható következményeinek bemutatására kifejti, hogy a veszélyes járművezetés magasabb biztosítási díjakat eredményezhet, és egy fiktív járművezetőket összehasonlító alkalmazást biztosít, akik között van olyan, akinek veszélyes vezetési szokásai vannak, mint például erőteljes</w:t>
      </w:r>
      <w:r w:rsidR="0039332D">
        <w:rPr>
          <w:rFonts w:ascii="Times New Roman" w:hAnsi="Times New Roman"/>
        </w:rPr>
        <w:t xml:space="preserve"> gyorsítás és hirtelen fékezés.</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Ábrákat használ, amely tippeket ad, hogyan lehet javítani ezeken a szokásokon és ennek következtében hogyan csökkenthetők a biztosítási díjak.</w:t>
      </w:r>
    </w:p>
    <w:p w:rsidR="00AF3592" w:rsidRPr="008D7E99" w:rsidRDefault="00AF3592" w:rsidP="00AF3592">
      <w:pPr>
        <w:spacing w:line="240" w:lineRule="auto"/>
        <w:rPr>
          <w:rFonts w:ascii="Times New Roman" w:hAnsi="Times New Roman"/>
        </w:rPr>
      </w:pPr>
      <w:r>
        <w:rPr>
          <w:rFonts w:ascii="Times New Roman" w:hAnsi="Times New Roman"/>
        </w:rPr>
        <w:t>Az adatkezelők hasonló vizuális technikákat vehetnek igénybe egy korábbi döntésük me</w:t>
      </w:r>
      <w:r w:rsidR="0039332D">
        <w:rPr>
          <w:rFonts w:ascii="Times New Roman" w:hAnsi="Times New Roman"/>
        </w:rPr>
        <w:t>ghozatalának magyarázatához is.</w:t>
      </w:r>
    </w:p>
    <w:p w:rsidR="00AF3592" w:rsidRDefault="00AF3592" w:rsidP="00AF3592">
      <w:pPr>
        <w:pStyle w:val="Heading3"/>
        <w:jc w:val="both"/>
      </w:pPr>
      <w:bookmarkStart w:id="102" w:name="_Toc504568079"/>
      <w:bookmarkStart w:id="103" w:name="_Toc521658172"/>
      <w:r>
        <w:t>A 15. cikk (1) bekezdésének h) pontja: Hozzáférési jog</w:t>
      </w:r>
      <w:bookmarkEnd w:id="102"/>
      <w:bookmarkEnd w:id="103"/>
    </w:p>
    <w:p w:rsidR="00AF3592" w:rsidRDefault="00AF3592" w:rsidP="00AF3592">
      <w:pPr>
        <w:spacing w:after="0" w:line="240" w:lineRule="auto"/>
        <w:jc w:val="both"/>
      </w:pPr>
    </w:p>
    <w:p w:rsidR="00AF3592" w:rsidRDefault="00AF3592" w:rsidP="00AF3592">
      <w:pPr>
        <w:spacing w:after="0" w:line="240" w:lineRule="auto"/>
        <w:rPr>
          <w:rFonts w:ascii="Times New Roman" w:hAnsi="Times New Roman"/>
        </w:rPr>
      </w:pPr>
      <w:r>
        <w:rPr>
          <w:rFonts w:ascii="Times New Roman" w:hAnsi="Times New Roman"/>
        </w:rPr>
        <w:t>A 15. cikk (1) bekezdésének h) pontja feljogosítja az érintetteket, hogy a 13. cikk (2) bekezdésének f) pontjában és a 14. cikk (2) bekezdésének g) pontjában előírtakkal megegyező tájékoztatást kapjanak a kizárólag automatizált döntéshozatalról, ideértve a profilalkotást is, nevezetesen az alábbiakról:</w:t>
      </w:r>
    </w:p>
    <w:p w:rsidR="00AF3592" w:rsidRDefault="00AF3592" w:rsidP="00AF3592">
      <w:pPr>
        <w:spacing w:after="0" w:line="240" w:lineRule="auto"/>
        <w:rPr>
          <w:rFonts w:ascii="Times New Roman" w:hAnsi="Times New Roman"/>
        </w:rPr>
      </w:pP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az automatizált döntéshozatal ténye, ideértve a profilalkotást;</w:t>
      </w: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az alkalmazott logikára vonatkozó érthető információk; valamint</w:t>
      </w:r>
    </w:p>
    <w:p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az ilyen adatkezelés jelentősége és várható következményei az érintettre nézve.</w:t>
      </w:r>
    </w:p>
    <w:p w:rsidR="00AF3592" w:rsidRPr="00840E13" w:rsidRDefault="00AF3592" w:rsidP="00AF3592">
      <w:pPr>
        <w:pStyle w:val="ListParagraph"/>
        <w:spacing w:after="0" w:line="240" w:lineRule="auto"/>
        <w:rPr>
          <w:rFonts w:ascii="Times New Roman" w:hAnsi="Times New Roman"/>
        </w:rPr>
      </w:pPr>
    </w:p>
    <w:p w:rsidR="00AF3592" w:rsidRDefault="00AF3592" w:rsidP="00AF3592">
      <w:pPr>
        <w:spacing w:after="0" w:line="240" w:lineRule="auto"/>
        <w:rPr>
          <w:color w:val="000000"/>
        </w:rPr>
      </w:pPr>
      <w:r>
        <w:rPr>
          <w:rFonts w:ascii="Times New Roman" w:hAnsi="Times New Roman"/>
        </w:rPr>
        <w:t>Az adatkezelőnek ezeket az információkat a 13. cikkből eredő kötelezettségei szerint már ezt megelőzően biztosítania kellett az érintetteknek</w:t>
      </w:r>
      <w:r>
        <w:rPr>
          <w:rStyle w:val="FootnoteReference"/>
          <w:color w:val="000000"/>
        </w:rPr>
        <w:footnoteReference w:id="43"/>
      </w:r>
      <w:r>
        <w:t>.</w:t>
      </w:r>
    </w:p>
    <w:p w:rsidR="00AF3592" w:rsidRDefault="00AF3592" w:rsidP="00AF3592">
      <w:pPr>
        <w:spacing w:after="0" w:line="240" w:lineRule="auto"/>
        <w:rPr>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lastRenderedPageBreak/>
        <w:t xml:space="preserve">A 15. cikk (1) bekezdésének h) pontja szerint az adatkezelőnek az adatkezelés </w:t>
      </w:r>
      <w:r>
        <w:rPr>
          <w:rFonts w:ascii="Times New Roman" w:hAnsi="Times New Roman"/>
          <w:i/>
          <w:color w:val="000000"/>
        </w:rPr>
        <w:t xml:space="preserve">várható következményeiről </w:t>
      </w:r>
      <w:r>
        <w:rPr>
          <w:rFonts w:ascii="Times New Roman" w:hAnsi="Times New Roman"/>
          <w:color w:val="000000"/>
        </w:rPr>
        <w:t xml:space="preserve">kell tájékoztatnia az érintettet, nem pedig egy </w:t>
      </w:r>
      <w:r>
        <w:rPr>
          <w:rFonts w:ascii="Times New Roman" w:hAnsi="Times New Roman"/>
          <w:i/>
          <w:color w:val="000000"/>
        </w:rPr>
        <w:t xml:space="preserve">adott </w:t>
      </w:r>
      <w:r>
        <w:rPr>
          <w:rFonts w:ascii="Times New Roman" w:hAnsi="Times New Roman"/>
          <w:color w:val="000000"/>
        </w:rPr>
        <w:t xml:space="preserve">döntést kell megmagyaráznia. </w:t>
      </w:r>
      <w:r>
        <w:rPr>
          <w:rFonts w:ascii="Times New Roman" w:hAnsi="Times New Roman"/>
        </w:rPr>
        <w:t xml:space="preserve">A (63) preambulumbekezdés tisztázza ezt, kimondva, hogy minden érintettnek hozzáférési joggal kell rendelkeznie, hogy „megismerje” az automatizált adatkezelést, beleértve az alkalmazott logikát, és </w:t>
      </w:r>
      <w:r>
        <w:rPr>
          <w:rFonts w:ascii="Times New Roman" w:hAnsi="Times New Roman"/>
          <w:i/>
        </w:rPr>
        <w:t>legalább</w:t>
      </w:r>
      <w:r>
        <w:rPr>
          <w:rFonts w:ascii="Times New Roman" w:hAnsi="Times New Roman"/>
        </w:rPr>
        <w:t xml:space="preserve"> abban az esetben, amikor az profilalkotásra épül, az ilyen adatkezelés következményeit. </w:t>
      </w:r>
    </w:p>
    <w:p w:rsidR="00AF3592" w:rsidRDefault="00AF3592" w:rsidP="00AF3592">
      <w:pPr>
        <w:spacing w:after="0" w:line="240" w:lineRule="auto"/>
        <w:rPr>
          <w:rFonts w:ascii="Times New Roman" w:hAnsi="Times New Roman"/>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 xml:space="preserve">A 15. cikk szerinti jogainak gyakorlása révén az érintett megismerheti a vele kapcsolatban hozott döntést, ideértve az olyat is, </w:t>
      </w:r>
      <w:r w:rsidR="0039332D">
        <w:rPr>
          <w:rFonts w:ascii="Times New Roman" w:hAnsi="Times New Roman"/>
          <w:color w:val="000000"/>
        </w:rPr>
        <w:t>amelyik profilalkotáson alapul.</w:t>
      </w:r>
    </w:p>
    <w:p w:rsidR="00AF3592" w:rsidRDefault="00AF3592" w:rsidP="00AF3592">
      <w:pPr>
        <w:spacing w:after="0" w:line="240" w:lineRule="auto"/>
        <w:rPr>
          <w:rFonts w:ascii="Times New Roman" w:hAnsi="Times New Roman"/>
          <w:color w:val="000000"/>
        </w:rPr>
      </w:pPr>
    </w:p>
    <w:p w:rsidR="00AF3592" w:rsidRPr="00C9197F" w:rsidRDefault="00AF3592" w:rsidP="00AF3592">
      <w:pPr>
        <w:spacing w:after="0" w:line="240" w:lineRule="auto"/>
        <w:rPr>
          <w:rFonts w:ascii="Times New Roman" w:hAnsi="Times New Roman"/>
        </w:rPr>
      </w:pPr>
      <w:r>
        <w:rPr>
          <w:rFonts w:ascii="Times New Roman" w:hAnsi="Times New Roman"/>
          <w:color w:val="000000"/>
        </w:rPr>
        <w:t>Az adatkezelőnek általános információt kell adnia az érintett részére (különösen a döntéshozatali folyamatban figyelembe vett szempontokról, és azok összesített szintű „súlyozásáról”), amely szintén hasznos lehet az érintett számára a döntés megtámadásához.</w:t>
      </w:r>
    </w:p>
    <w:p w:rsidR="00AF3592" w:rsidRPr="004B432D" w:rsidRDefault="00AF3592" w:rsidP="00AF3592">
      <w:pPr>
        <w:spacing w:after="0" w:line="240" w:lineRule="auto"/>
        <w:jc w:val="both"/>
        <w:rPr>
          <w:rFonts w:ascii="Times New Roman" w:hAnsi="Times New Roman"/>
        </w:rPr>
      </w:pPr>
      <w:bookmarkStart w:id="104" w:name="_Article_22(1)_–"/>
      <w:bookmarkStart w:id="105" w:name="_Article_22(3)_-"/>
      <w:bookmarkEnd w:id="104"/>
      <w:bookmarkEnd w:id="105"/>
    </w:p>
    <w:p w:rsidR="00AF3592" w:rsidRPr="00D948F3" w:rsidRDefault="00AF3592" w:rsidP="00AF3592">
      <w:pPr>
        <w:pStyle w:val="Heading2"/>
      </w:pPr>
      <w:bookmarkStart w:id="106" w:name="_Toc504568080"/>
      <w:bookmarkStart w:id="107" w:name="_Toc521658173"/>
      <w:r>
        <w:t>Megfelelő garanciák alkalmazása</w:t>
      </w:r>
      <w:bookmarkEnd w:id="106"/>
      <w:bookmarkEnd w:id="107"/>
    </w:p>
    <w:p w:rsidR="00AF3592" w:rsidRDefault="00AF3592" w:rsidP="00AF3592">
      <w:pPr>
        <w:spacing w:after="0" w:line="240" w:lineRule="auto"/>
        <w:rPr>
          <w:rFonts w:ascii="Times New Roman" w:hAnsi="Times New Roman"/>
        </w:rPr>
      </w:pPr>
      <w:r>
        <w:rPr>
          <w:rFonts w:ascii="Times New Roman" w:hAnsi="Times New Roman"/>
        </w:rPr>
        <w:t>Ha az adatkezelés alapja a 22. cikk (2) bekezdésének a) pontja vagy a 22. cikk (2) bekezdésének c) pontja, a 22. cikk (3) bekezdése előírja, hogy az adatkezelők kötelesek megfelelő intézkedéseket tenni az érintettek jogainak, szabadságainak és jogos érdekeinek védelme érdekében. A 22. cikk (2) bekezdésének b) pontja értelmében az adatkezelést lehetővé tevő uniós vagy tagállami jognak garanciákat biztosító intézked</w:t>
      </w:r>
      <w:r w:rsidR="0039332D">
        <w:rPr>
          <w:rFonts w:ascii="Times New Roman" w:hAnsi="Times New Roman"/>
        </w:rPr>
        <w:t>éseket is meg kell állapítania.</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Az ilyen intézkedések közé kell tartoznia legalább annak, hogy lehetővé teszik az érintett számára, hogy emberi beavatkozást kérjen, az álláspontját kifejezze, és a döntésse</w:t>
      </w:r>
      <w:r w:rsidR="0039332D">
        <w:rPr>
          <w:rFonts w:ascii="Times New Roman" w:hAnsi="Times New Roman"/>
        </w:rPr>
        <w:t>l szemben kifogást nyújtson be.</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Az emberi beavatkozás kulcsfontosságú elem. Bármilyen felülvizsgálatot olyan személynek kell végeznie, aki megfelelő jogkörrel és képességgel rendelkezik a döntés megváltoztatására. A felülvizsgálónak alaposan meg kell vizsgálnia az összes releváns adatot, ideértve az érintett által rendelkezésre bocsátott minden további információt.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A (71) preambulumbekezdés kiemeli, hogy a megfelelő biztosítékoknak </w:t>
      </w:r>
      <w:r>
        <w:rPr>
          <w:rFonts w:ascii="Times New Roman" w:hAnsi="Times New Roman"/>
          <w:i/>
        </w:rPr>
        <w:t>minden esetben</w:t>
      </w:r>
      <w:r>
        <w:rPr>
          <w:rFonts w:ascii="Times New Roman" w:hAnsi="Times New Roman"/>
        </w:rPr>
        <w:t xml:space="preserve"> tartalmazniuk kell a következőket:</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jc w:val="both"/>
              <w:rPr>
                <w:rFonts w:ascii="Times New Roman" w:hAnsi="Times New Roman"/>
              </w:rPr>
            </w:pPr>
            <w:r>
              <w:rPr>
                <w:rFonts w:ascii="Times New Roman" w:hAnsi="Times New Roman"/>
              </w:rPr>
              <w:t>(...) az érintett külön tájékoztatása és az ahhoz való joga, hogy (...) magyarázatot kapjon az ilyen értékelés alapján hozott döntésrő</w:t>
            </w:r>
            <w:r w:rsidR="0039332D">
              <w:rPr>
                <w:rFonts w:ascii="Times New Roman" w:hAnsi="Times New Roman"/>
              </w:rPr>
              <w:t>l és hogy megtámadja a döntést.</w:t>
            </w:r>
          </w:p>
        </w:tc>
      </w:tr>
    </w:tbl>
    <w:p w:rsidR="00AF3592" w:rsidRDefault="00AF3592" w:rsidP="00AF3592">
      <w:pPr>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Az adatkezelőnek egyszerű módot kell biztosítania az érintett számára ezen jogok gyakorlására.</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Ez hangsúlyozza, hogy az adatkezelésnek átláthatónak kell lennie. Az érintett csak akkor lesz képes megtámadni egy döntést vagy kifejezni a véleményét, ha teljes mértékben megérti, hogyan és milyen alapon hozták meg a döntést. Az átláthatósági követelményeket a IV. fejezet (E. szakasz) tárgyalja.</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 gyűjtött vagy megosztott adatokban levő hibák, illetve torzulások vagy az automatizált döntéshozatali folyamatban levő hibák, illetve torzulások a következőket eredményezhetik:</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hely</w:t>
      </w:r>
      <w:r w:rsidR="0039332D">
        <w:rPr>
          <w:rFonts w:ascii="Times New Roman" w:hAnsi="Times New Roman"/>
        </w:rPr>
        <w:t>telen besorolások; és</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pontatlan előrejelzések</w:t>
      </w:r>
      <w:r w:rsidR="0039332D">
        <w:rPr>
          <w:rFonts w:ascii="Times New Roman" w:hAnsi="Times New Roman"/>
        </w:rPr>
        <w:t>en alapuló értékelések; amelyek</w:t>
      </w:r>
    </w:p>
    <w:p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hátrányos hatással va</w:t>
      </w:r>
      <w:r w:rsidR="0039332D">
        <w:rPr>
          <w:rFonts w:ascii="Times New Roman" w:hAnsi="Times New Roman"/>
        </w:rPr>
        <w:t>nnak a természetes személyekre.</w:t>
      </w:r>
    </w:p>
    <w:p w:rsidR="00AF3592" w:rsidRPr="004F1F21"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Az adatkezelőknek rendszeresen értékelniük kell az általuk kezelt adatállományokat, hogy ellenőrizzék az esetleges torzulásokat, és hogy módszereket dolgozzanak ki bármilyen esetleges káros elem kezelésére, ideértve az összefüggésekre való </w:t>
      </w:r>
      <w:r w:rsidR="0039332D">
        <w:rPr>
          <w:rFonts w:ascii="Times New Roman" w:hAnsi="Times New Roman"/>
        </w:rPr>
        <w:t>esetleges túlzott támaszkodást.</w:t>
      </w:r>
    </w:p>
    <w:p w:rsidR="00AF3592" w:rsidRDefault="00AF3592" w:rsidP="00AF3592">
      <w:pPr>
        <w:spacing w:after="0" w:line="240" w:lineRule="auto"/>
        <w:rPr>
          <w:rFonts w:ascii="Times New Roman" w:hAnsi="Times New Roman"/>
        </w:rPr>
      </w:pPr>
      <w:r>
        <w:rPr>
          <w:rFonts w:ascii="Times New Roman" w:hAnsi="Times New Roman"/>
        </w:rPr>
        <w:t>További hasznos intézkedés az algoritmusokat ellenőrző rendszerek alkalmazása és az automatizált döntéshozatal (ideértve a profilalkotást is) pontosságának és helytálló</w:t>
      </w:r>
      <w:r w:rsidR="0039332D">
        <w:rPr>
          <w:rFonts w:ascii="Times New Roman" w:hAnsi="Times New Roman"/>
        </w:rPr>
        <w:t>ságának rendszeres ellenőrzése.</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Az adatkezelőknek megfelelő eljárásokat és intézkedéseket kell bevezetnie a hibák, pontatlanságok</w:t>
      </w:r>
      <w:r>
        <w:rPr>
          <w:rStyle w:val="FootnoteReference"/>
          <w:rFonts w:ascii="Times New Roman" w:hAnsi="Times New Roman"/>
        </w:rPr>
        <w:footnoteReference w:id="44"/>
      </w:r>
      <w:r>
        <w:rPr>
          <w:rFonts w:ascii="Times New Roman" w:hAnsi="Times New Roman"/>
        </w:rPr>
        <w:t xml:space="preserve"> vagy az adatok különleges kategóriái alapján történő megkülönböztetés megakadályozására. Ezeket az intézkedéseket ciklikusan kell alkalmazni; nemcsak a tervezési szakaszban, hanem folyamatosan, ahogy a profilalkotást a természetes személyekre alkalmazzák. Az ilyen tesztek eredményét fel kell használni a rendszer kialakításának fejlesztéséhez. </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rPr>
          <w:rFonts w:ascii="Times New Roman" w:hAnsi="Times New Roman"/>
        </w:rPr>
        <w:t>A megfelelő garanciákra vonatkozó további példák az</w:t>
      </w:r>
      <w:r>
        <w:t xml:space="preserve"> </w:t>
      </w:r>
      <w:hyperlink w:anchor="_Recommendations" w:history="1">
        <w:r>
          <w:rPr>
            <w:rStyle w:val="Hyperlink"/>
            <w:rFonts w:ascii="Times New Roman" w:hAnsi="Times New Roman"/>
          </w:rPr>
          <w:t>Ajánlások</w:t>
        </w:r>
      </w:hyperlink>
      <w:r>
        <w:t xml:space="preserve"> </w:t>
      </w:r>
      <w:r>
        <w:rPr>
          <w:rFonts w:ascii="Times New Roman" w:hAnsi="Times New Roman"/>
        </w:rPr>
        <w:t>szakaszban találhatók.</w:t>
      </w:r>
    </w:p>
    <w:p w:rsidR="004F1F21" w:rsidRPr="004F1F21" w:rsidRDefault="0025078C" w:rsidP="007A4121">
      <w:pPr>
        <w:pStyle w:val="Heading1"/>
      </w:pPr>
      <w:bookmarkStart w:id="108" w:name="_Children_and_profiling"/>
      <w:bookmarkStart w:id="109" w:name="_Toc468695865"/>
      <w:bookmarkEnd w:id="108"/>
      <w:r>
        <w:tab/>
      </w:r>
      <w:bookmarkStart w:id="110" w:name="_Toc504568081"/>
      <w:bookmarkStart w:id="111" w:name="_Toc521658174"/>
      <w:r>
        <w:t>A gyermekek és a profilalkotás</w:t>
      </w:r>
      <w:bookmarkEnd w:id="109"/>
      <w:bookmarkEnd w:id="110"/>
      <w:bookmarkEnd w:id="111"/>
    </w:p>
    <w:p w:rsidR="00B056AE" w:rsidRPr="00F50D8D" w:rsidRDefault="00B056AE" w:rsidP="00B056AE">
      <w:pPr>
        <w:spacing w:after="0" w:line="240" w:lineRule="auto"/>
        <w:rPr>
          <w:rFonts w:ascii="Times New Roman" w:hAnsi="Times New Roman"/>
        </w:rPr>
      </w:pPr>
      <w:r>
        <w:rPr>
          <w:rFonts w:ascii="Times New Roman" w:hAnsi="Times New Roman"/>
        </w:rPr>
        <w:t>A GDPR az adatkezelőket terhelő további kötelezettségeket vezet be, ha gyermekek személyes adatait kezelik.</w:t>
      </w:r>
    </w:p>
    <w:p w:rsidR="00B056AE" w:rsidRPr="00F50D8D"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Maga a 22. cikk nem tesz különbséget abban, hogy az adatkezelés felnőttekre vagy gyermekekre vonatkozik-e. Azonban a (71) preambulumbekezdés kimondja, hogy joghatással vagy hasonlóképpen jelentős hatással járó automatizált döntéshozatal, ideértve a profilalkotást is, nem alkalmazható gyermekekkel kapcsolatban</w:t>
      </w:r>
      <w:r>
        <w:rPr>
          <w:rStyle w:val="FootnoteReference"/>
          <w:rFonts w:ascii="Times New Roman" w:eastAsiaTheme="majorEastAsia" w:hAnsi="Times New Roman"/>
        </w:rPr>
        <w:footnoteReference w:id="45"/>
      </w:r>
      <w:r>
        <w:t>.</w:t>
      </w:r>
      <w:r>
        <w:rPr>
          <w:rFonts w:ascii="Times New Roman" w:hAnsi="Times New Roman"/>
        </w:rPr>
        <w:t xml:space="preserve"> Tekintettel arra, hogy ez a megfogalmazás nem tükröződik magában a cikkben, a WP29 nem tekinti úgy, hogy ez a gyermekekkel kapcsolatos ilyen jellegű adatkezelés a</w:t>
      </w:r>
      <w:r w:rsidR="0039332D">
        <w:rPr>
          <w:rFonts w:ascii="Times New Roman" w:hAnsi="Times New Roman"/>
        </w:rPr>
        <w:t xml:space="preserve">bszolút tilalmát jelentené. </w:t>
      </w:r>
      <w:r>
        <w:rPr>
          <w:rFonts w:ascii="Times New Roman" w:hAnsi="Times New Roman"/>
        </w:rPr>
        <w:t>Azonban, figyelembe véve ezt a preambulumbekezdést, a WP29 azt javasolja, hogy az adatkezelőknek általános szabályként nem szabad a 22. cikk (2) bekezdésében meghatározott kivételekre támaszkodniuk az ilyen adatkezelés indoklás</w:t>
      </w:r>
      <w:r w:rsidR="0039332D">
        <w:rPr>
          <w:rFonts w:ascii="Times New Roman" w:hAnsi="Times New Roman"/>
        </w:rPr>
        <w:t>a érdekében.</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Előállhatnak azonban bizonyos körülmények, amelyek között szükség van arra, hogy az adatkezelők gyermekekre joghatással vagy hasonlóképpen jelentős hatással járó, kizárólag automatizált döntéshozatal végezzenek, ideértve a profilalkotást is, például a jólétük megvédése érdekében. Ha így van, akkor az adatkezelés adott esetben a 22. cikk (2) bekezdésének a), b) va</w:t>
      </w:r>
      <w:r w:rsidR="0039332D">
        <w:rPr>
          <w:rFonts w:ascii="Times New Roman" w:hAnsi="Times New Roman"/>
        </w:rPr>
        <w:t>gy c) pontja alapján végezhető.</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Az ilyen esetekben megfelelő garanciákat kell biztosítani, ahogy azt a 22. cikk (2) bekezdésének b) pontja és a 22. cikk (3) bekezdése előírja, és ezért azoknak megfelelőeknek ke</w:t>
      </w:r>
      <w:r w:rsidR="0039332D">
        <w:rPr>
          <w:rFonts w:ascii="Times New Roman" w:hAnsi="Times New Roman"/>
        </w:rPr>
        <w:t xml:space="preserve">ll lennie a gyermekek számára. </w:t>
      </w:r>
      <w:r>
        <w:rPr>
          <w:rFonts w:ascii="Times New Roman" w:hAnsi="Times New Roman"/>
        </w:rPr>
        <w:t>Az adatkezelőnek biztosítania kell, hogy az ilyen garanciák hatékonyan védik azon gyermekek jogait, szabadságait és jogos érdekeit, akiknek az a</w:t>
      </w:r>
      <w:r w:rsidR="0039332D">
        <w:rPr>
          <w:rFonts w:ascii="Times New Roman" w:hAnsi="Times New Roman"/>
        </w:rPr>
        <w:t>datait kezeli.</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A gyermekek különleges védelmének szükségessége tükröződik a (38) preambulumbekezdésben, amely szerint:</w:t>
      </w:r>
    </w:p>
    <w:p w:rsidR="00B056AE" w:rsidRPr="00F50D8D" w:rsidRDefault="00B056AE" w:rsidP="00B056AE">
      <w:pPr>
        <w:spacing w:after="0" w:line="240" w:lineRule="auto"/>
        <w:jc w:val="both"/>
        <w:rPr>
          <w:rFonts w:ascii="Times New Roman" w:hAnsi="Times New Roman"/>
        </w:rPr>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 xml:space="preserve">A gyermekek személyes adatai különös védelmet érdemelnek, mivel ők kevésbé lehetnek tisztában a személyes adatok kezelésével összefüggő kockázatokkal, következményeivel és az ahhoz kapcsolódó garanciákkal és jogosultságokkal. Ezt a különös védelmet főként a gyermekek személyes adatainak olyan felhasználására kell alkalmazni, amely </w:t>
      </w:r>
      <w:r>
        <w:rPr>
          <w:rFonts w:ascii="Times New Roman" w:hAnsi="Times New Roman"/>
          <w:i/>
        </w:rPr>
        <w:t>marketingcélokat, illetve személyi vagy felhasználói profilok létrehozásának célját szolgálja, továbbá a gyermekek személyes adatainak a közvetlenül a részükre nyújtott szolgáltatások igénybevétele során történő gyűjtésére.</w:t>
      </w:r>
    </w:p>
    <w:p w:rsidR="00B056AE" w:rsidRPr="00F50D8D" w:rsidRDefault="00B056AE" w:rsidP="00B056AE">
      <w:pPr>
        <w:spacing w:after="0" w:line="240" w:lineRule="auto"/>
        <w:jc w:val="both"/>
        <w:rPr>
          <w:rFonts w:ascii="Times New Roman" w:hAnsi="Times New Roman"/>
          <w:i/>
        </w:rPr>
      </w:pPr>
    </w:p>
    <w:p w:rsidR="00B056AE" w:rsidRPr="00F50D8D" w:rsidRDefault="00B056AE" w:rsidP="00B056AE">
      <w:pPr>
        <w:spacing w:after="0" w:line="240" w:lineRule="auto"/>
        <w:rPr>
          <w:rFonts w:ascii="Times New Roman" w:hAnsi="Times New Roman"/>
        </w:rPr>
      </w:pPr>
      <w:r>
        <w:rPr>
          <w:rFonts w:ascii="Times New Roman" w:hAnsi="Times New Roman"/>
        </w:rPr>
        <w:t>A 22. cikk nem zárja ki, hogy az adatkezelők kizárólag automatizált döntéseket hozzanak gyermekekkel kapcsolatban, ha a döntésnek nem lesz a joghatása vagy hasonlóképpen jelentős hatása a gyermekre. Azonban a gyermek választásait és viselkedését befolyásoló kizárólag automatizált döntéshozatalnak – a szóban forgó választások és viselkedések jellegétől függően – potenciálisan joghatása vagy hasonló jel</w:t>
      </w:r>
      <w:r w:rsidR="0039332D">
        <w:rPr>
          <w:rFonts w:ascii="Times New Roman" w:hAnsi="Times New Roman"/>
        </w:rPr>
        <w:t>entős hatása lehet a gyermekre.</w:t>
      </w:r>
    </w:p>
    <w:p w:rsidR="00B056AE" w:rsidRPr="00F50D8D" w:rsidRDefault="00B056AE" w:rsidP="00B056AE">
      <w:pPr>
        <w:spacing w:after="0" w:line="240" w:lineRule="auto"/>
        <w:rPr>
          <w:rFonts w:ascii="Times New Roman" w:hAnsi="Times New Roman"/>
        </w:rPr>
      </w:pPr>
    </w:p>
    <w:p w:rsidR="00B056AE" w:rsidRPr="00F50D8D" w:rsidRDefault="00B056AE" w:rsidP="00B056AE">
      <w:pPr>
        <w:spacing w:after="0" w:line="240" w:lineRule="auto"/>
        <w:rPr>
          <w:rFonts w:ascii="Times New Roman" w:hAnsi="Times New Roman"/>
        </w:rPr>
      </w:pPr>
      <w:r>
        <w:rPr>
          <w:rFonts w:ascii="Times New Roman" w:hAnsi="Times New Roman"/>
        </w:rPr>
        <w:t>Mivel a gyermekek kiszolgáltatottabb társadalmi csoportot képeznek, a szervezeteknek általában tartózkodniuk kell a gyermekek marketing céljából történő profilozásától</w:t>
      </w:r>
      <w:r>
        <w:rPr>
          <w:rStyle w:val="FootnoteReference"/>
          <w:rFonts w:ascii="Times New Roman" w:hAnsi="Times New Roman"/>
        </w:rPr>
        <w:footnoteReference w:id="46"/>
      </w:r>
      <w:r>
        <w:t>.</w:t>
      </w:r>
      <w:r>
        <w:rPr>
          <w:rFonts w:ascii="Times New Roman" w:hAnsi="Times New Roman"/>
        </w:rPr>
        <w:t xml:space="preserve"> A gyermekek különösen fogékonyak lehetnek az online környezetben, és könnyebben befolyásolhatók viselkedésalapú reklámokkal. Például az online játékoknál a profilalkotás arra használható, hogy olyan játékosokat vegyenek célba, akik az algoritmus szerint nagyobb valószínűséggel költenek pénzt a játékra; emellett használható személyre</w:t>
      </w:r>
      <w:r w:rsidR="0039332D">
        <w:rPr>
          <w:rFonts w:ascii="Times New Roman" w:hAnsi="Times New Roman"/>
        </w:rPr>
        <w:t xml:space="preserve"> szabott reklámok küldésére is.</w:t>
      </w:r>
      <w:r>
        <w:rPr>
          <w:rFonts w:ascii="Times New Roman" w:hAnsi="Times New Roman"/>
        </w:rPr>
        <w:t xml:space="preserve"> A gyermek életkora és érettsége befolyásolhatja azt, hogy mennyibe képes megérteni az ilyen jellegű marketing mögötti motivációt vagy a következményeket</w:t>
      </w:r>
      <w:r>
        <w:rPr>
          <w:rStyle w:val="FootnoteReference"/>
          <w:rFonts w:ascii="Times New Roman" w:eastAsiaTheme="majorEastAsia" w:hAnsi="Times New Roman"/>
        </w:rPr>
        <w:footnoteReference w:id="47"/>
      </w:r>
      <w:r>
        <w:t>.</w:t>
      </w:r>
    </w:p>
    <w:p w:rsidR="00B056AE" w:rsidRPr="00F50D8D" w:rsidRDefault="00B056AE" w:rsidP="00B056AE">
      <w:pPr>
        <w:spacing w:after="0" w:line="240" w:lineRule="auto"/>
        <w:rPr>
          <w:rFonts w:ascii="Times New Roman" w:hAnsi="Times New Roman"/>
        </w:rPr>
      </w:pPr>
    </w:p>
    <w:p w:rsidR="00B056AE" w:rsidRPr="00794B43" w:rsidRDefault="00B056AE" w:rsidP="00B056AE">
      <w:pPr>
        <w:spacing w:after="0" w:line="240" w:lineRule="auto"/>
        <w:rPr>
          <w:sz w:val="24"/>
          <w:szCs w:val="24"/>
        </w:rPr>
      </w:pPr>
      <w:r>
        <w:rPr>
          <w:rFonts w:ascii="Times New Roman" w:hAnsi="Times New Roman"/>
        </w:rPr>
        <w:t>A 40. cikk (2) bekezdésének g) pontja kifejezetten utal a gyermekeket érintő garanciákat tartalmazó magatartási kódexek készítésére; lehetőség van a meglevő kódexek fejlesztésére is</w:t>
      </w:r>
      <w:r>
        <w:rPr>
          <w:rStyle w:val="FootnoteReference"/>
          <w:rFonts w:ascii="Times New Roman" w:hAnsi="Times New Roman"/>
        </w:rPr>
        <w:footnoteReference w:id="48"/>
      </w:r>
      <w:r>
        <w:t>.</w:t>
      </w:r>
    </w:p>
    <w:p w:rsidR="00C61104" w:rsidRPr="004F1F21" w:rsidRDefault="00C61104" w:rsidP="00617EC0">
      <w:pPr>
        <w:spacing w:after="0" w:line="240" w:lineRule="auto"/>
        <w:jc w:val="both"/>
        <w:rPr>
          <w:rFonts w:ascii="Times New Roman" w:hAnsi="Times New Roman"/>
        </w:rPr>
      </w:pPr>
    </w:p>
    <w:p w:rsidR="004F1F21" w:rsidRPr="004F1F21" w:rsidRDefault="004F1F21" w:rsidP="0060552C">
      <w:pPr>
        <w:pStyle w:val="Heading1"/>
      </w:pPr>
      <w:bookmarkStart w:id="112" w:name="_Data_protection_impact"/>
      <w:bookmarkStart w:id="113" w:name="_Toc504568082"/>
      <w:bookmarkStart w:id="114" w:name="_Toc521658175"/>
      <w:bookmarkEnd w:id="112"/>
      <w:r>
        <w:t>Adatvédelmi hatásvizsgálatok (DPIA) és adatvédelmi tisztviselő (DPO)</w:t>
      </w:r>
      <w:bookmarkEnd w:id="113"/>
      <w:bookmarkEnd w:id="114"/>
    </w:p>
    <w:p w:rsidR="000B073D" w:rsidRPr="00EC136F" w:rsidRDefault="000B073D" w:rsidP="00617EC0">
      <w:pPr>
        <w:spacing w:line="240" w:lineRule="auto"/>
        <w:jc w:val="both"/>
        <w:rPr>
          <w:rFonts w:ascii="Times New Roman" w:hAnsi="Times New Roman"/>
        </w:rPr>
      </w:pPr>
      <w:r>
        <w:rPr>
          <w:rFonts w:ascii="Times New Roman" w:hAnsi="Times New Roman"/>
        </w:rPr>
        <w:t>Az elszámoltathatóság fontos terület és kifejezett előírás a GDPR alapján.</w:t>
      </w:r>
      <w:r>
        <w:rPr>
          <w:rStyle w:val="FootnoteReference"/>
          <w:rFonts w:ascii="Times New Roman" w:hAnsi="Times New Roman"/>
        </w:rPr>
        <w:t xml:space="preserve"> </w:t>
      </w:r>
      <w:r>
        <w:rPr>
          <w:rStyle w:val="FootnoteReference"/>
          <w:rFonts w:ascii="Times New Roman" w:hAnsi="Times New Roman"/>
        </w:rPr>
        <w:footnoteReference w:id="49"/>
      </w:r>
    </w:p>
    <w:p w:rsidR="00E37DBD" w:rsidRDefault="00E37DBD" w:rsidP="00617EC0">
      <w:pPr>
        <w:spacing w:line="240" w:lineRule="auto"/>
        <w:jc w:val="both"/>
        <w:rPr>
          <w:rFonts w:ascii="Times New Roman" w:hAnsi="Times New Roman"/>
        </w:rPr>
      </w:pPr>
      <w:r>
        <w:rPr>
          <w:rFonts w:ascii="Times New Roman" w:hAnsi="Times New Roman"/>
        </w:rPr>
        <w:t>Az egyik legfontosabb elszámoltathatósági eszközként az adatvédelmi hatásvizsgálat lehetővé teszi az adatkezelő számára, hogy felmérje, milyen kockázatokkal jár az automatizált döntéshozatal, ideértve a profilalkotást is. Ez egy módszer annak bemutatására, hogy megfelelő intézkedéseket alkalmaztak az ilyen kockázatok kezelésére és a GDPR-nek való megfelelés igazolására.</w:t>
      </w:r>
    </w:p>
    <w:p w:rsidR="00B62A9E" w:rsidRDefault="004F1F21" w:rsidP="00617EC0">
      <w:pPr>
        <w:spacing w:line="240" w:lineRule="auto"/>
        <w:jc w:val="both"/>
        <w:rPr>
          <w:rFonts w:ascii="Times New Roman" w:hAnsi="Times New Roman"/>
        </w:rPr>
      </w:pPr>
      <w:r>
        <w:rPr>
          <w:rFonts w:ascii="Times New Roman" w:hAnsi="Times New Roman"/>
        </w:rPr>
        <w:t>A 35. cikk (3) bekezdésének a) pontja kiemeli annak szükségességét, hogy az adatkezelő DPIA-t végezzen a következő esetekben:</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a természetes személyekre vonatkozó egyes személyes jellemzők olyan </w:t>
      </w:r>
      <w:r>
        <w:rPr>
          <w:rFonts w:ascii="Times New Roman" w:hAnsi="Times New Roman"/>
          <w:i/>
        </w:rPr>
        <w:t>módszeres és kiterjedt értékelése</w:t>
      </w:r>
      <w:r>
        <w:rPr>
          <w:rFonts w:ascii="Times New Roman" w:hAnsi="Times New Roman"/>
        </w:rPr>
        <w:t xml:space="preserve">, amely automatizált adatkezelésen – </w:t>
      </w:r>
      <w:r>
        <w:rPr>
          <w:rFonts w:ascii="Times New Roman" w:hAnsi="Times New Roman"/>
          <w:i/>
        </w:rPr>
        <w:t>ideértve</w:t>
      </w:r>
      <w:r>
        <w:rPr>
          <w:rFonts w:ascii="Times New Roman" w:hAnsi="Times New Roman"/>
        </w:rPr>
        <w:t xml:space="preserve"> a profilalkotást is – </w:t>
      </w:r>
      <w:r>
        <w:rPr>
          <w:rFonts w:ascii="Times New Roman" w:hAnsi="Times New Roman"/>
          <w:i/>
        </w:rPr>
        <w:t>alapul</w:t>
      </w:r>
      <w:r>
        <w:rPr>
          <w:rFonts w:ascii="Times New Roman" w:hAnsi="Times New Roman"/>
        </w:rPr>
        <w:t>, és amelyre a természetes személy tekintetében joghatással bíró vagy a természetes személyt hasonlóképpen jelentős mértékben érintő döntések épülnek;</w:t>
      </w:r>
    </w:p>
    <w:p w:rsidR="00066176" w:rsidRDefault="00066176" w:rsidP="00617EC0">
      <w:pPr>
        <w:spacing w:after="0" w:line="240" w:lineRule="auto"/>
        <w:jc w:val="both"/>
        <w:rPr>
          <w:rFonts w:ascii="Times New Roman" w:hAnsi="Times New Roman"/>
        </w:rPr>
      </w:pPr>
      <w:r>
        <w:rPr>
          <w:rFonts w:ascii="Times New Roman" w:hAnsi="Times New Roman"/>
        </w:rPr>
        <w:lastRenderedPageBreak/>
        <w:t xml:space="preserve">A 35. cikk (3) bekezdésének a) pontja profilalkotást magában foglaló értékelésekre és automatizált adatkezelésre „épülő” döntésekre hivatkozik, nem pedig „kizárólag” automatizált adatkezelésre. Szerintünk ez azt jelenti, hogy a 35. cikk (3) bekezdésének a) pontja alkalmazandó a joghatással vagy hasonlóképpen jelentős hatással járó olyan döntéshozatalra –, ideértve a profilalkotást is –, amely </w:t>
      </w:r>
      <w:r>
        <w:rPr>
          <w:rFonts w:ascii="Times New Roman" w:hAnsi="Times New Roman"/>
          <w:i/>
        </w:rPr>
        <w:t>nem</w:t>
      </w:r>
      <w:r>
        <w:rPr>
          <w:rFonts w:ascii="Times New Roman" w:hAnsi="Times New Roman"/>
        </w:rPr>
        <w:t xml:space="preserve"> teljesen automatizált, továbbá a 22. cikk (1) bekezdésében meghatározott kizárólag automatizált döntéshozatalra.</w:t>
      </w:r>
    </w:p>
    <w:p w:rsidR="004B3326" w:rsidRDefault="004B3326" w:rsidP="00617EC0">
      <w:pPr>
        <w:spacing w:after="0" w:line="240" w:lineRule="auto"/>
        <w:jc w:val="both"/>
        <w:rPr>
          <w:rFonts w:ascii="Times New Roman" w:hAnsi="Times New Roman"/>
        </w:rPr>
      </w:pPr>
    </w:p>
    <w:p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rPr>
        <w:t xml:space="preserve">Ha az adatkezelő olyan „modellt” irányoz elő, amelyben </w:t>
      </w:r>
      <w:r>
        <w:rPr>
          <w:rFonts w:ascii="Times New Roman" w:hAnsi="Times New Roman"/>
          <w:i/>
          <w:sz w:val="22"/>
        </w:rPr>
        <w:t xml:space="preserve">kizárólag </w:t>
      </w:r>
      <w:r>
        <w:rPr>
          <w:rFonts w:ascii="Times New Roman" w:hAnsi="Times New Roman"/>
          <w:sz w:val="22"/>
        </w:rPr>
        <w:t xml:space="preserve">automatizált döntéseket hoz, amelyek a róluk készült </w:t>
      </w:r>
      <w:r>
        <w:rPr>
          <w:rFonts w:ascii="Times New Roman" w:hAnsi="Times New Roman"/>
          <w:i/>
          <w:sz w:val="22"/>
        </w:rPr>
        <w:t>profilok</w:t>
      </w:r>
      <w:r>
        <w:rPr>
          <w:rFonts w:ascii="Times New Roman" w:hAnsi="Times New Roman"/>
          <w:sz w:val="22"/>
        </w:rPr>
        <w:t xml:space="preserve"> alapján </w:t>
      </w:r>
      <w:r>
        <w:rPr>
          <w:rFonts w:ascii="Times New Roman" w:hAnsi="Times New Roman"/>
          <w:i/>
          <w:sz w:val="22"/>
        </w:rPr>
        <w:t xml:space="preserve">nagy hatást </w:t>
      </w:r>
      <w:r>
        <w:rPr>
          <w:rFonts w:ascii="Times New Roman" w:hAnsi="Times New Roman"/>
          <w:sz w:val="22"/>
        </w:rPr>
        <w:t xml:space="preserve">gyakorolnak a természetes személyekre, és az adatkezelő </w:t>
      </w:r>
      <w:r>
        <w:rPr>
          <w:rFonts w:ascii="Times New Roman" w:hAnsi="Times New Roman"/>
          <w:i/>
          <w:sz w:val="22"/>
        </w:rPr>
        <w:t xml:space="preserve">nem </w:t>
      </w:r>
      <w:r>
        <w:rPr>
          <w:rFonts w:ascii="Times New Roman" w:hAnsi="Times New Roman"/>
          <w:sz w:val="22"/>
        </w:rPr>
        <w:t>támaszkodhat a természetes személyek hozzájárulására, velük kötött szerződésre vagy ezt engedélyező törvényre, akkor az adatkezelő nem folytathatja ezt.</w:t>
      </w:r>
    </w:p>
    <w:p w:rsidR="004B3326" w:rsidRDefault="004B3326" w:rsidP="00A25160">
      <w:pPr>
        <w:spacing w:line="240" w:lineRule="auto"/>
        <w:divId w:val="1743210061"/>
      </w:pPr>
      <w:r>
        <w:rPr>
          <w:rFonts w:ascii="Times New Roman" w:hAnsi="Times New Roman"/>
        </w:rPr>
        <w:t xml:space="preserve">Az adatkezelő továbbra is tervezhet profilalkotáson alapuló döntéshozatali „modellt”, amennyiben jelentősen növeli az emberi beavatkozás mértékét annak érdekében, hogy a modell </w:t>
      </w:r>
      <w:r>
        <w:rPr>
          <w:rFonts w:ascii="Times New Roman" w:hAnsi="Times New Roman"/>
          <w:i/>
        </w:rPr>
        <w:t>ne legyen teljesen automatizált döntéshozatali folyamat</w:t>
      </w:r>
      <w:r>
        <w:rPr>
          <w:rFonts w:ascii="Times New Roman" w:hAnsi="Times New Roman"/>
        </w:rPr>
        <w:t>, bár az adatkezelés még így is jelenthet kockázatot a természetes személyek alapvető jogaira és szabadságaira. Ebben a helyzetben az adatkezelőnek biztosítania kell, hogy képes kezelni ezeket a kockázatokat, és megfelel a jelen iránymutatás III. fejezetében leírt követelményeknek.</w:t>
      </w:r>
    </w:p>
    <w:p w:rsidR="00016000" w:rsidRDefault="00B83F01" w:rsidP="00617EC0">
      <w:pPr>
        <w:spacing w:after="0" w:line="240" w:lineRule="auto"/>
        <w:jc w:val="both"/>
        <w:rPr>
          <w:rFonts w:ascii="Times New Roman" w:hAnsi="Times New Roman"/>
        </w:rPr>
      </w:pPr>
      <w:r>
        <w:rPr>
          <w:rFonts w:ascii="Times New Roman" w:hAnsi="Times New Roman"/>
        </w:rPr>
        <w:t>A DPIA hasznos módszer lehet az adatkezelő számára ahhoz is, hogy azonosítsa, milyen intézkedéseket fog bevezetni az adatkezeléssel járó adatvédelmi kockázatok kezelésére. Az ilyen intézkedések</w:t>
      </w:r>
      <w:r>
        <w:rPr>
          <w:rStyle w:val="FootnoteReference"/>
          <w:rFonts w:ascii="Times New Roman" w:hAnsi="Times New Roman"/>
        </w:rPr>
        <w:footnoteReference w:id="50"/>
      </w:r>
      <w:r>
        <w:rPr>
          <w:rFonts w:ascii="Times New Roman" w:hAnsi="Times New Roman"/>
        </w:rPr>
        <w:t xml:space="preserve"> </w:t>
      </w:r>
      <w:r w:rsidR="0039332D">
        <w:rPr>
          <w:rFonts w:ascii="Times New Roman" w:hAnsi="Times New Roman"/>
        </w:rPr>
        <w:t>közé tartozhatnak a következők:</w:t>
      </w:r>
    </w:p>
    <w:p w:rsidR="00273F18" w:rsidRDefault="00273F18" w:rsidP="00617EC0">
      <w:pPr>
        <w:spacing w:after="0" w:line="240" w:lineRule="auto"/>
        <w:jc w:val="both"/>
        <w:rPr>
          <w:rFonts w:ascii="Times New Roman" w:hAnsi="Times New Roman"/>
        </w:rPr>
      </w:pPr>
    </w:p>
    <w:p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az érintettek tájékoztatása az automatizált döntéshozatali folyamat tényéről és logikájáról;</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annak elmagyarázása, hogy az adatkezelésnek milyen jelentősége van és milyen várható következményekkel jár az érintettre nézve;</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eszközök biztosítása az érintettek számára a döntés elleni tiltakozásra; valamint</w:t>
      </w:r>
    </w:p>
    <w:p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annak lehetővé tétele az érintettek számára, hogy kifejezzék az álláspontjukat.</w:t>
      </w:r>
    </w:p>
    <w:p w:rsidR="00DE6E88" w:rsidRDefault="00DE6E88" w:rsidP="00617EC0">
      <w:pPr>
        <w:spacing w:after="0" w:line="240" w:lineRule="auto"/>
        <w:jc w:val="both"/>
        <w:rPr>
          <w:rFonts w:ascii="Times New Roman" w:hAnsi="Times New Roman"/>
        </w:rPr>
      </w:pPr>
    </w:p>
    <w:p w:rsidR="00AB2EE5" w:rsidRDefault="00863FE4" w:rsidP="00F50441">
      <w:pPr>
        <w:spacing w:after="0" w:line="240" w:lineRule="auto"/>
        <w:rPr>
          <w:rFonts w:ascii="Times New Roman" w:hAnsi="Times New Roman"/>
        </w:rPr>
      </w:pPr>
      <w:r>
        <w:rPr>
          <w:rFonts w:ascii="Times New Roman" w:hAnsi="Times New Roman"/>
        </w:rPr>
        <w:t>Az eset sajátosságaitól függően egyéb profilalkotási tevékenységek is indokolttá tehetik a DPIA-t. Az adatkezelők további információkat találnak a WP29 DPIA-val kapcsolatos iránymutatásában</w:t>
      </w:r>
      <w:r>
        <w:rPr>
          <w:rStyle w:val="FootnoteReference"/>
          <w:rFonts w:ascii="Times New Roman" w:hAnsi="Times New Roman"/>
        </w:rPr>
        <w:footnoteReference w:id="51"/>
      </w:r>
      <w:r>
        <w:rPr>
          <w:rFonts w:ascii="Times New Roman" w:hAnsi="Times New Roman"/>
        </w:rPr>
        <w:t>, amely segítséget nyújt annak megállapításához is, hogy szükség van-e DPIA elvégzésére.</w:t>
      </w:r>
    </w:p>
    <w:p w:rsidR="005034E2" w:rsidRDefault="005034E2" w:rsidP="00F50441">
      <w:pPr>
        <w:spacing w:after="0" w:line="240" w:lineRule="auto"/>
        <w:rPr>
          <w:rFonts w:ascii="Times New Roman" w:hAnsi="Times New Roman"/>
        </w:rPr>
      </w:pPr>
    </w:p>
    <w:p w:rsidR="005034E2" w:rsidRPr="00F50441" w:rsidRDefault="005034E2" w:rsidP="00F50441">
      <w:pPr>
        <w:spacing w:after="0" w:line="240" w:lineRule="auto"/>
        <w:rPr>
          <w:rFonts w:ascii="Georgia" w:hAnsi="Georgia"/>
          <w:b/>
          <w:spacing w:val="5"/>
          <w:sz w:val="28"/>
        </w:rPr>
      </w:pPr>
      <w:r>
        <w:rPr>
          <w:rFonts w:ascii="Times New Roman" w:hAnsi="Times New Roman"/>
        </w:rPr>
        <w:t>További elszámoltathatósági követelmény a DPO kijelölésének követelménye, amennyiben a profilalkotás és/vagy az automatizált döntéshozatal az adatkezelő fő tevékenysége, és az érintettek rendszeres és szisztematikus, nagymértékű megfigyelését teszi szükségessé (a 37. cikk (1) bekezdésének b) pontja)</w:t>
      </w:r>
      <w:r>
        <w:rPr>
          <w:rStyle w:val="FootnoteReference"/>
          <w:rFonts w:ascii="Times New Roman" w:hAnsi="Times New Roman"/>
        </w:rPr>
        <w:footnoteReference w:id="52"/>
      </w:r>
      <w:r>
        <w:t>.</w:t>
      </w:r>
    </w:p>
    <w:p w:rsidR="00A25160" w:rsidRPr="00405FB8" w:rsidRDefault="00A25160" w:rsidP="00405FB8"/>
    <w:p w:rsidR="00732F7E" w:rsidRDefault="00F82B0E" w:rsidP="00935496">
      <w:pPr>
        <w:pStyle w:val="Heading1"/>
        <w:numPr>
          <w:ilvl w:val="0"/>
          <w:numId w:val="0"/>
        </w:numPr>
        <w:ind w:left="426"/>
      </w:pPr>
      <w:bookmarkStart w:id="115" w:name="_Toc504568083"/>
      <w:bookmarkStart w:id="116" w:name="_Toc521658176"/>
      <w:r>
        <w:t>1. melléklet – Helyes gyakorlatra vonatkozó ajánlások</w:t>
      </w:r>
      <w:bookmarkEnd w:id="115"/>
      <w:bookmarkEnd w:id="116"/>
    </w:p>
    <w:p w:rsidR="006C1E4B" w:rsidRPr="00E91EC6" w:rsidRDefault="001638F8" w:rsidP="00617EC0">
      <w:pPr>
        <w:spacing w:line="240" w:lineRule="auto"/>
        <w:jc w:val="both"/>
        <w:rPr>
          <w:rFonts w:ascii="Times New Roman" w:hAnsi="Times New Roman"/>
        </w:rPr>
      </w:pPr>
      <w:bookmarkStart w:id="117" w:name="_Recommendations"/>
      <w:bookmarkEnd w:id="117"/>
      <w:r>
        <w:rPr>
          <w:rFonts w:ascii="Times New Roman" w:hAnsi="Times New Roman"/>
        </w:rPr>
        <w:lastRenderedPageBreak/>
        <w:t>A helyes gyakorlatra vonatkozó alábbi ajánlások segítséget nyújtanak az adatkezelőknek, hogy eleget tegyenek a GDPR profilalkotásra és automatizált döntéshozatalra vonatkozó követelményeinek</w:t>
      </w:r>
      <w:r>
        <w:rPr>
          <w:rStyle w:val="FootnoteReference"/>
          <w:rFonts w:ascii="Times New Roman" w:hAnsi="Times New Roman"/>
        </w:rPr>
        <w:footnoteReference w:id="53"/>
      </w:r>
      <w:r>
        <w:t>.</w:t>
      </w:r>
    </w:p>
    <w:tbl>
      <w:tblPr>
        <w:tblStyle w:val="TableGrid"/>
        <w:tblW w:w="0" w:type="auto"/>
        <w:tblLook w:val="04A0" w:firstRow="1" w:lastRow="0" w:firstColumn="1" w:lastColumn="0" w:noHBand="0" w:noVBand="1"/>
      </w:tblPr>
      <w:tblGrid>
        <w:gridCol w:w="2745"/>
        <w:gridCol w:w="1799"/>
        <w:gridCol w:w="4744"/>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Cikk</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Tárgy</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Ajánlás</w:t>
            </w:r>
          </w:p>
        </w:tc>
      </w:tr>
      <w:tr w:rsidR="00B27516" w:rsidRPr="002B3C39" w:rsidTr="00F82B0E">
        <w:trPr>
          <w:trHeight w:val="1275"/>
        </w:trPr>
        <w:tc>
          <w:tcPr>
            <w:tcW w:w="0" w:type="auto"/>
          </w:tcPr>
          <w:p w:rsidR="006C1E4B" w:rsidRPr="002B3C39" w:rsidRDefault="0076673C" w:rsidP="00617EC0">
            <w:pPr>
              <w:spacing w:line="240" w:lineRule="auto"/>
              <w:jc w:val="both"/>
              <w:rPr>
                <w:rFonts w:ascii="Times New Roman" w:hAnsi="Times New Roman"/>
              </w:rPr>
            </w:pPr>
            <w:r>
              <w:rPr>
                <w:rFonts w:ascii="Times New Roman" w:hAnsi="Times New Roman"/>
              </w:rPr>
              <w:t>az 5. cikk (1) bekezdésének a) pontja, 12., 13., 14. cikk</w:t>
            </w:r>
          </w:p>
        </w:tc>
        <w:tc>
          <w:tcPr>
            <w:tcW w:w="0" w:type="auto"/>
          </w:tcPr>
          <w:p w:rsidR="006C1E4B" w:rsidRPr="002B3C39" w:rsidRDefault="001C1E12" w:rsidP="00E967A3">
            <w:pPr>
              <w:rPr>
                <w:rFonts w:ascii="Times New Roman" w:hAnsi="Times New Roman"/>
              </w:rPr>
            </w:pPr>
            <w:r>
              <w:rPr>
                <w:rFonts w:ascii="Times New Roman" w:hAnsi="Times New Roman"/>
              </w:rPr>
              <w:t>Tájékoztatáshoz való jog</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Az adatkezelők az általános átláthatósági követelmények tekintetében tanulmányozzák a WP29 átláthatósággal kapcsolatos WP260 számú iránymutatását.</w:t>
            </w:r>
          </w:p>
          <w:p w:rsidR="005034E2" w:rsidRDefault="005034E2" w:rsidP="002A3D00">
            <w:pPr>
              <w:spacing w:line="240" w:lineRule="auto"/>
              <w:rPr>
                <w:rFonts w:ascii="Times New Roman" w:hAnsi="Times New Roman"/>
                <w:color w:val="000000"/>
              </w:rPr>
            </w:pPr>
            <w:r>
              <w:rPr>
                <w:rFonts w:ascii="Times New Roman" w:hAnsi="Times New Roman"/>
                <w:color w:val="000000"/>
              </w:rPr>
              <w:t>Az általános követelményeken felül, ha az adatkezelő a 22. cikkben meghatározott módon kezel adatokat, akkor érthető információkat kell biztosítania az alkalmazott logikáról.</w:t>
            </w:r>
          </w:p>
          <w:p w:rsidR="002A3D00" w:rsidRDefault="002A3D00" w:rsidP="002A3D00">
            <w:pPr>
              <w:spacing w:line="240" w:lineRule="auto"/>
              <w:rPr>
                <w:rFonts w:ascii="Times New Roman" w:hAnsi="Times New Roman"/>
                <w:color w:val="000000"/>
              </w:rPr>
            </w:pPr>
            <w:r>
              <w:rPr>
                <w:rFonts w:ascii="Times New Roman" w:hAnsi="Times New Roman"/>
                <w:color w:val="000000"/>
              </w:rPr>
              <w:t>Az adatkezelők az algoritmusok és gépi tanulás működésére vonatkozó bonyolult matematikai magyarázat helyett mérlegeljék, hogyan tájékoztatják az érintetteket világos és átfogó módon például az alábbiakról:</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az adatok mely kategóriáit használták fel vagy fogják felhasználni a profilalkotáshoz vagy a döntéshozatali folyamatban;</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miért tartják rel</w:t>
            </w:r>
            <w:r w:rsidR="0039332D">
              <w:rPr>
                <w:rFonts w:ascii="Times New Roman" w:hAnsi="Times New Roman"/>
              </w:rPr>
              <w:t>evánsnak ezeket a kategóriákat,</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hogyan alakítják ki az automatizált döntéshozatali folyamat során felhasznált profilokat, ideértve az elemzéshez esetlegesen felhasznált statisztikai adatokat is;</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miért releváns ez a profil az automatizált döntéshozatali folyamat tekintetében; valamint</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hogyan használják fel ezt az érintettre vonatkozó döntés meghozatalához.</w:t>
            </w:r>
          </w:p>
          <w:p w:rsidR="002A3D00" w:rsidRDefault="002A3D00" w:rsidP="002A3D00">
            <w:pPr>
              <w:spacing w:line="240" w:lineRule="auto"/>
              <w:rPr>
                <w:rFonts w:ascii="Times New Roman" w:hAnsi="Times New Roman"/>
                <w:color w:val="000000"/>
              </w:rPr>
            </w:pPr>
            <w:r>
              <w:rPr>
                <w:rFonts w:ascii="Times New Roman" w:hAnsi="Times New Roman"/>
                <w:color w:val="000000"/>
              </w:rPr>
              <w:t>Az ilyen információk általában relevánsabbak az érintett számára, és hozzájárulnak az adatkezelés átláthatóságához.</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Az adatkezelők az algoritmikus átláthatóság támogatása érdekében vizualizációs és interaktív technikákhoz is folyamodhatnak</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rsidTr="002B3C39">
        <w:tc>
          <w:tcPr>
            <w:tcW w:w="0" w:type="auto"/>
          </w:tcPr>
          <w:p w:rsidR="00DD75A5" w:rsidRPr="002B3C39" w:rsidRDefault="00DD75A5" w:rsidP="00617EC0">
            <w:pPr>
              <w:jc w:val="both"/>
              <w:rPr>
                <w:rFonts w:ascii="Times New Roman" w:hAnsi="Times New Roman"/>
              </w:rPr>
            </w:pPr>
            <w:r>
              <w:rPr>
                <w:rFonts w:ascii="Times New Roman" w:hAnsi="Times New Roman"/>
              </w:rPr>
              <w:lastRenderedPageBreak/>
              <w:t>a 6. cikk (1) bekezdésének a) pontja</w:t>
            </w:r>
          </w:p>
        </w:tc>
        <w:tc>
          <w:tcPr>
            <w:tcW w:w="0" w:type="auto"/>
          </w:tcPr>
          <w:p w:rsidR="00DD75A5" w:rsidRDefault="00DD75A5" w:rsidP="00E967A3">
            <w:pPr>
              <w:rPr>
                <w:rFonts w:ascii="Times New Roman" w:hAnsi="Times New Roman"/>
              </w:rPr>
            </w:pPr>
            <w:r>
              <w:rPr>
                <w:rFonts w:ascii="Times New Roman" w:hAnsi="Times New Roman"/>
              </w:rPr>
              <w:t>Ha a hozzájárulás az adatkezelés alapja</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Ha az adatkezelők a hozzájárulásra támaszkodnak az adatkezelés alapjaként, akkor tanulmányozzák a WP29 hozzájárulással kapcsolatos WP259 számú iránymutatását.</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15. cikk</w:t>
            </w:r>
          </w:p>
        </w:tc>
        <w:tc>
          <w:tcPr>
            <w:tcW w:w="0" w:type="auto"/>
          </w:tcPr>
          <w:p w:rsidR="0076673C" w:rsidRPr="002B3C39" w:rsidRDefault="002B3C39" w:rsidP="00E967A3">
            <w:pPr>
              <w:rPr>
                <w:rFonts w:ascii="Times New Roman" w:hAnsi="Times New Roman"/>
              </w:rPr>
            </w:pPr>
            <w:r>
              <w:rPr>
                <w:rFonts w:ascii="Times New Roman" w:hAnsi="Times New Roman"/>
              </w:rPr>
              <w:t>Hozzáféréshez való jog</w:t>
            </w:r>
          </w:p>
        </w:tc>
        <w:tc>
          <w:tcPr>
            <w:tcW w:w="0" w:type="auto"/>
          </w:tcPr>
          <w:p w:rsidR="0076673C" w:rsidRPr="002B3C39" w:rsidRDefault="0076673C" w:rsidP="00617EC0">
            <w:pPr>
              <w:spacing w:line="240" w:lineRule="auto"/>
              <w:jc w:val="both"/>
              <w:rPr>
                <w:rFonts w:ascii="Times New Roman" w:hAnsi="Times New Roman"/>
                <w:color w:val="000000"/>
              </w:rPr>
            </w:pPr>
            <w:r>
              <w:rPr>
                <w:rFonts w:ascii="Times New Roman" w:hAnsi="Times New Roman"/>
              </w:rPr>
              <w:t>Az adatkezelők mérlegelhetik egy olyan mechanizmus bevezetését, amelynek segítségével az érintettek ellenőrizhetik a profiljukat, beleértve az ebben szereplő információk részleteit és a profil kialakításához felhasznált forrás</w:t>
            </w:r>
            <w:r w:rsidR="0039332D">
              <w:rPr>
                <w:rFonts w:ascii="Times New Roman" w:hAnsi="Times New Roman"/>
              </w:rPr>
              <w:t>okat is.</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16. cikk</w:t>
            </w:r>
          </w:p>
        </w:tc>
        <w:tc>
          <w:tcPr>
            <w:tcW w:w="0" w:type="auto"/>
          </w:tcPr>
          <w:p w:rsidR="002B3C39" w:rsidRPr="002B3C39" w:rsidRDefault="002B3C39" w:rsidP="00E967A3">
            <w:pPr>
              <w:rPr>
                <w:rFonts w:ascii="Times New Roman" w:hAnsi="Times New Roman"/>
              </w:rPr>
            </w:pPr>
            <w:r>
              <w:rPr>
                <w:rFonts w:ascii="Times New Roman" w:hAnsi="Times New Roman"/>
              </w:rPr>
              <w:t>Helyesbítéshez való jog</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Azok az adatkezelők, akik a 15. cikk szerinti jogaikkal összefüggésben hozzáférést biztosítanak az érintettnek a profiljukhoz, tegyék lehetővé számukra, hogy aktualizálják vagy helyesbítsék az adatokban vagy a profilban szereplő esetleges pontatlanságokat. Ez segíthet az 5. cikk (1) bekezdésének d) pontjában előírt kötelezettségük teljesítésében is.</w:t>
            </w:r>
          </w:p>
          <w:p w:rsidR="002B3C39" w:rsidRPr="00777203" w:rsidRDefault="00777203" w:rsidP="002A3D00">
            <w:pPr>
              <w:pStyle w:val="NormalWeb"/>
              <w:rPr>
                <w:color w:val="000000"/>
                <w:sz w:val="22"/>
                <w:szCs w:val="22"/>
              </w:rPr>
            </w:pPr>
            <w:r>
              <w:rPr>
                <w:sz w:val="22"/>
              </w:rPr>
              <w:t xml:space="preserve">Az adatkezelők fontolóra vehetik online preferencia-kezelési eszközök (pl. </w:t>
            </w:r>
            <w:r>
              <w:rPr>
                <w:color w:val="000000"/>
                <w:sz w:val="22"/>
              </w:rPr>
              <w:t>adatvédelmi jelzőrendszer) bevezetését. Ez lehetőséget ad az érintetteknek, hogy maguk kezeljék, hogy mi történjen az adataikkal különböző szolgáltatások tekintetében, ami lehetővé teszi számukra a beállítások megváltoztatását, a személyes adataik frissítését, és a profiljuk áttekintését vagy szerkesztését az esetleges pontatl</w:t>
            </w:r>
            <w:r w:rsidR="0039332D">
              <w:rPr>
                <w:color w:val="000000"/>
                <w:sz w:val="22"/>
              </w:rPr>
              <w:t>anságok helyesbítése érdekében.</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t>a 21. cikk (1) és (2) bekezdése</w:t>
            </w:r>
          </w:p>
        </w:tc>
        <w:tc>
          <w:tcPr>
            <w:tcW w:w="0" w:type="auto"/>
          </w:tcPr>
          <w:p w:rsidR="002B3C39" w:rsidRPr="002B3C39" w:rsidRDefault="002B3C39" w:rsidP="00E967A3">
            <w:pPr>
              <w:rPr>
                <w:rFonts w:ascii="Times New Roman" w:hAnsi="Times New Roman"/>
              </w:rPr>
            </w:pPr>
            <w:r>
              <w:rPr>
                <w:rFonts w:ascii="Times New Roman" w:hAnsi="Times New Roman"/>
              </w:rPr>
              <w:t>Tiltakozáshoz való jog</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A 21. cikk (1) és (2) bekezdése szerinti tiltakozáshoz való jogot kifejezetten az érintett tudomására kell hozni, továbbá egyértelműen és az egyéb megadott információtól elkülönítve kell megjeleníteni (a 21. cikk (4) bekezdése).</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Az adatkezelőknek biztosítaniuk kell, hogy ez a jog jól láthatóan megjelenjen a weboldalukon és minden vonatkozó iraton, és azt ne rejtsék el valamilyen egyéb feltételek között.</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a 22. cikk és a (71) preambulumbekezdés</w:t>
            </w:r>
          </w:p>
        </w:tc>
        <w:tc>
          <w:tcPr>
            <w:tcW w:w="0" w:type="auto"/>
          </w:tcPr>
          <w:p w:rsidR="002B3C39" w:rsidRPr="002B3C39" w:rsidRDefault="002B3C39" w:rsidP="00E967A3">
            <w:pPr>
              <w:rPr>
                <w:rFonts w:ascii="Times New Roman" w:hAnsi="Times New Roman"/>
              </w:rPr>
            </w:pPr>
            <w:r>
              <w:rPr>
                <w:rFonts w:ascii="Times New Roman" w:hAnsi="Times New Roman"/>
              </w:rPr>
              <w:t>Megfelelő garanciák</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Az alábbi lista, bár nem kimerítő, néhány helyes gyakorlatra való javaslatot mutat be, amelyeket az adatkezelőknek figyelembe kell venniük, ha kizárólag automatizált döntéshozatalt végeznek, ideértve a profilalkotást is (ahogy azt a 22. cikk (1) bekezdése meghatározza):</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 xml:space="preserve">a rendszereik rendszeres minőségbiztosítási ellenőrzése, hogy megbizonyosodjanak arról, hogy a természetes személyeket tisztességesen </w:t>
            </w:r>
            <w:r>
              <w:rPr>
                <w:rFonts w:ascii="Times New Roman" w:hAnsi="Times New Roman"/>
              </w:rPr>
              <w:lastRenderedPageBreak/>
              <w:t>kezelik és nem különböztetik meg sem az adatok különleges kategóriái alapján, sem más módon;</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algoritmus ellenőrzése – a gépi tanulási rendszerek által alkalmazott és kifejlesztett algoritmusok tesztelése annak bizonyítására, hogy ténylegesen rendeltetésszerűen működnek, és nem vezetnek diszkriminatív, hibás va</w:t>
            </w:r>
            <w:r w:rsidR="00573612">
              <w:rPr>
                <w:rFonts w:ascii="Times New Roman" w:hAnsi="Times New Roman"/>
              </w:rPr>
              <w:t>gy indokolatlan eredményekhez;</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a független „harmadik fél” általi ellenőrzés során (amennyiben a profilalkotáson alapuló döntéshozatal nagy hatást gyakorol a természetes személyekre) minden szükséges információ megadása az ellenőrzést végző számára arról, hogy az algoritmus vagy gépi tanulási rendszer hogyan működik;</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a harmadik fél által szállított algoritmusokra vonatkozóan szerződéses biztosítékok arról, hogy az ellenőrzést és a tesztelést elvégezték, és az algoritmus megfelel az elfogadott szabványoknak;</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egyedi intézkedések az adattakarékosság érdekében, amelyek meghatározzák a profilok és a profilok létrehozásához vagy alkalmazásához használt személyes adatok egyértelmű megőrzési időszakait;</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anonimizálási vagy álnevesítési technikák használata a profilalkotás kontextusában; </w:t>
            </w:r>
          </w:p>
          <w:p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olyan módszerek, amelyek lehetővé teszik az érintett számára álláspontjának kifejezését és a döntés megtámadását; valamint</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meghatározott esetekben mechanizmus az emberi beavatkozásra, például egy fellebbezési eljárásra mutató link megadása azon a ponton, ahol az automatizált döntést közlik az érintettel, a megállapított felülvizsgálati határidőkkel és a kapcsolattartó megnevezésév</w:t>
            </w:r>
            <w:r w:rsidR="0039332D">
              <w:rPr>
                <w:rFonts w:ascii="Times New Roman" w:hAnsi="Times New Roman"/>
              </w:rPr>
              <w:t>el, akihez kérdések intézhetők.</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t>Az adatkezelők gondolkodhatnak olyan lehetőségekben is, mint:</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az adatkezelési műveleteket hitelesítő mechanizmusok;</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a gépi tanulást magában foglaló ellenőrzési folyamatokra vonatkozó magatartási kódexek;</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 xml:space="preserve">etikai felülvizsgálati bizottságok annak értékelése céljából, hogy a profilalkotáshoz használt egyes </w:t>
            </w:r>
            <w:r>
              <w:rPr>
                <w:rFonts w:ascii="Times New Roman" w:hAnsi="Times New Roman"/>
              </w:rPr>
              <w:lastRenderedPageBreak/>
              <w:t>alkalmazások milyen lehetséges károkkal és előnyökkel járnak a társadalomra nézve.</w:t>
            </w:r>
          </w:p>
          <w:p w:rsidR="002B3C39" w:rsidRPr="002B3C39" w:rsidRDefault="002B3C39" w:rsidP="00617EC0">
            <w:pPr>
              <w:spacing w:after="0" w:line="240" w:lineRule="auto"/>
              <w:jc w:val="both"/>
              <w:rPr>
                <w:rFonts w:ascii="Times New Roman" w:hAnsi="Times New Roman"/>
              </w:rPr>
            </w:pPr>
          </w:p>
        </w:tc>
      </w:tr>
    </w:tbl>
    <w:p w:rsidR="004E053B" w:rsidRDefault="004E053B" w:rsidP="007A4121">
      <w:pPr>
        <w:pStyle w:val="Heading1"/>
        <w:numPr>
          <w:ilvl w:val="0"/>
          <w:numId w:val="0"/>
        </w:numPr>
      </w:pPr>
    </w:p>
    <w:p w:rsidR="00DD7B59" w:rsidRPr="00DD7B59" w:rsidRDefault="00DD7B59" w:rsidP="00DD7B59"/>
    <w:p w:rsidR="004E053B" w:rsidRDefault="004E053B" w:rsidP="007A4121">
      <w:pPr>
        <w:pStyle w:val="Heading1"/>
        <w:numPr>
          <w:ilvl w:val="0"/>
          <w:numId w:val="0"/>
        </w:numPr>
      </w:pPr>
    </w:p>
    <w:p w:rsidR="005D7465" w:rsidRDefault="005D7465" w:rsidP="005D7465">
      <w:pPr>
        <w:pStyle w:val="Heading1"/>
        <w:numPr>
          <w:ilvl w:val="0"/>
          <w:numId w:val="0"/>
        </w:numPr>
        <w:ind w:left="426"/>
      </w:pPr>
      <w:bookmarkStart w:id="118" w:name="_Toc504568084"/>
      <w:bookmarkStart w:id="119" w:name="_Toc521658177"/>
      <w:r>
        <w:t>2. melléklet – A GDPR kulcsfontosságú rendelkezései</w:t>
      </w:r>
      <w:bookmarkEnd w:id="118"/>
      <w:bookmarkEnd w:id="119"/>
    </w:p>
    <w:p w:rsidR="004E053B" w:rsidRDefault="004E053B" w:rsidP="007A4121">
      <w:pPr>
        <w:pStyle w:val="Heading1"/>
        <w:numPr>
          <w:ilvl w:val="0"/>
          <w:numId w:val="0"/>
        </w:numPr>
      </w:pPr>
    </w:p>
    <w:p w:rsidR="005D7465" w:rsidRPr="0083202D" w:rsidRDefault="005D7465" w:rsidP="005D7465">
      <w:pPr>
        <w:pStyle w:val="Heading2"/>
        <w:numPr>
          <w:ilvl w:val="0"/>
          <w:numId w:val="0"/>
        </w:numPr>
      </w:pPr>
      <w:bookmarkStart w:id="120" w:name="_Toc504568085"/>
      <w:bookmarkStart w:id="121" w:name="_Toc521658178"/>
      <w:r>
        <w:t>A GDPR általános profilalkotásra és automatizált döntéshozatalra vonatkozó kulcsfontosságú rendelkezései</w:t>
      </w:r>
      <w:bookmarkEnd w:id="120"/>
      <w:bookmarkEnd w:id="121"/>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Cikk</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Preambulumbekezdés</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t>Megjegyzések</w:t>
            </w:r>
          </w:p>
        </w:tc>
      </w:tr>
      <w:tr w:rsidR="005D7465" w:rsidRPr="0083202D" w:rsidTr="005D7465">
        <w:trPr>
          <w:trHeight w:val="1592"/>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 3. cikk (2) bekezdésének b) pontja</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(24)</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Az érintettek viselkedésének megfigyeléséhez kapcsolódnak, feltéve, hogy az Unió területén belül tanúsított viselkedésükről van szó.</w:t>
            </w:r>
          </w:p>
          <w:p w:rsidR="005D7465" w:rsidRPr="0083202D" w:rsidRDefault="005D7465" w:rsidP="005D7465">
            <w:pPr>
              <w:spacing w:after="0" w:line="240" w:lineRule="auto"/>
              <w:jc w:val="both"/>
              <w:rPr>
                <w:rFonts w:ascii="Times New Roman" w:hAnsi="Times New Roman"/>
              </w:rPr>
            </w:pPr>
            <w:r>
              <w:rPr>
                <w:rFonts w:ascii="Times New Roman" w:hAnsi="Times New Roman"/>
                <w:b/>
              </w:rPr>
              <w:t>(24) preambulumbekezdés</w:t>
            </w:r>
          </w:p>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 nyomon követik-e az interneten, (...) a természetes személy profiljának megalkotását is magában foglaló adatkezelési technikákat alkalmaznak-e, annak érdekében, </w:t>
            </w:r>
            <w:r>
              <w:rPr>
                <w:rFonts w:ascii="Times New Roman" w:hAnsi="Times New Roman"/>
                <w:i/>
              </w:rPr>
              <w:t>hogy elsősorban a</w:t>
            </w:r>
            <w:r>
              <w:rPr>
                <w:rFonts w:ascii="Times New Roman" w:hAnsi="Times New Roman"/>
              </w:rPr>
              <w:t xml:space="preserve"> természetes személyre vonatkozó </w:t>
            </w:r>
            <w:r>
              <w:rPr>
                <w:rFonts w:ascii="Times New Roman" w:hAnsi="Times New Roman"/>
                <w:i/>
              </w:rPr>
              <w:t>döntéseket hozzanak</w:t>
            </w:r>
            <w:r>
              <w:rPr>
                <w:rFonts w:ascii="Times New Roman" w:hAnsi="Times New Roman"/>
              </w:rPr>
              <w:t>, valamint, hogy elemezzék vagy előre jelezzék a természetes személy személyes preferenciáit, magatartását vagy beállítottságát”.</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a 4. cikk (4) bekezdése</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(30)</w:t>
            </w:r>
          </w:p>
        </w:tc>
        <w:tc>
          <w:tcPr>
            <w:tcW w:w="7291" w:type="dxa"/>
            <w:tcBorders>
              <w:bottom w:val="nil"/>
            </w:tcBorders>
          </w:tcPr>
          <w:p w:rsidR="005D7465" w:rsidRPr="0083202D" w:rsidRDefault="005D7465" w:rsidP="005D7465">
            <w:pPr>
              <w:spacing w:after="0" w:line="240" w:lineRule="auto"/>
              <w:jc w:val="both"/>
              <w:rPr>
                <w:rFonts w:ascii="Times New Roman" w:hAnsi="Times New Roman"/>
              </w:rPr>
            </w:pPr>
            <w:r>
              <w:rPr>
                <w:b/>
              </w:rPr>
              <w:t>A 4. cikk (4) bekezdése</w:t>
            </w:r>
            <w:r>
              <w:t>: a profilalkotás fogalommeghatározása</w:t>
            </w:r>
            <w:r>
              <w:rPr>
                <w:rFonts w:ascii="Times New Roman" w:hAnsi="Times New Roman"/>
              </w:rPr>
              <w:t xml:space="preserve">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(30) preambulumbekezdés</w:t>
            </w:r>
          </w:p>
          <w:p w:rsidR="005D7465" w:rsidRPr="0083202D" w:rsidRDefault="005D7465" w:rsidP="005D7465">
            <w:pPr>
              <w:pStyle w:val="NormalWeb"/>
              <w:spacing w:after="0"/>
              <w:jc w:val="both"/>
              <w:rPr>
                <w:sz w:val="22"/>
                <w:szCs w:val="22"/>
              </w:rPr>
            </w:pPr>
            <w:r>
              <w:rPr>
                <w:sz w:val="22"/>
              </w:rPr>
              <w:t xml:space="preserve">„online azonosítókkal, például IP-címekkel és cookie-azonosítókkal, valamint egyéb azonosítókkal, például rádiófrekvenciás azonosító címkékkel (...) olyan nyomok keletkezhetnek, amelyek egyedi azonosítókkal és a szerverek által fogadott egyéb információkkal összekapcsolva </w:t>
            </w:r>
            <w:r>
              <w:rPr>
                <w:i/>
                <w:sz w:val="22"/>
              </w:rPr>
              <w:t>felhasználhatók a természetes személyek profiljának létrehozására és az adott személyek azonosítására.</w:t>
            </w:r>
            <w:r>
              <w:rPr>
                <w:sz w:val="22"/>
              </w:rPr>
              <w:t>”</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5. és 6. cikk</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(72)</w:t>
            </w:r>
          </w:p>
        </w:tc>
        <w:tc>
          <w:tcPr>
            <w:tcW w:w="7291" w:type="dxa"/>
          </w:tcPr>
          <w:p w:rsidR="005D7465" w:rsidRDefault="005D7465" w:rsidP="005D7465">
            <w:pPr>
              <w:pStyle w:val="ListParagraph"/>
              <w:spacing w:after="0" w:line="240" w:lineRule="auto"/>
              <w:ind w:left="0"/>
              <w:jc w:val="both"/>
              <w:rPr>
                <w:rFonts w:ascii="Times New Roman" w:hAnsi="Times New Roman"/>
              </w:rPr>
            </w:pPr>
            <w:r>
              <w:rPr>
                <w:b/>
              </w:rPr>
              <w:t>(72) preambulumbekezdés</w:t>
            </w:r>
            <w:r>
              <w:t>:</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„A profilalkotást ennek a rendeletnek a személyes adatok kezelésére vonatkozó rendelkezései szabályozzák, például az adatkezelés jogalapja </w:t>
            </w:r>
            <w:r>
              <w:rPr>
                <w:rFonts w:ascii="Times New Roman" w:hAnsi="Times New Roman"/>
                <w:b/>
              </w:rPr>
              <w:t>(6. cikk)</w:t>
            </w:r>
            <w:r>
              <w:rPr>
                <w:rFonts w:ascii="Times New Roman" w:hAnsi="Times New Roman"/>
              </w:rPr>
              <w:t xml:space="preserve"> és az adatkezelési elvek tekintetében. </w:t>
            </w:r>
            <w:r>
              <w:rPr>
                <w:rFonts w:ascii="Times New Roman" w:hAnsi="Times New Roman"/>
                <w:b/>
              </w:rPr>
              <w:t>(5. cikk)</w:t>
            </w:r>
            <w:r>
              <w:rPr>
                <w:rFonts w:ascii="Times New Roman" w:hAnsi="Times New Roman"/>
              </w:rPr>
              <w:t>”</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8. cikk</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(38)</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Gyermekek személyes adatainak használata profilalkotáshoz.</w:t>
            </w:r>
          </w:p>
          <w:p w:rsidR="005D7465" w:rsidRPr="0083202D" w:rsidRDefault="0039332D" w:rsidP="005D7465">
            <w:pPr>
              <w:pStyle w:val="ListParagraph"/>
              <w:spacing w:line="240" w:lineRule="auto"/>
              <w:ind w:left="0"/>
              <w:jc w:val="both"/>
              <w:rPr>
                <w:rFonts w:ascii="Times New Roman" w:hAnsi="Times New Roman"/>
                <w:b/>
              </w:rPr>
            </w:pPr>
            <w:r>
              <w:rPr>
                <w:rFonts w:ascii="Times New Roman" w:hAnsi="Times New Roman"/>
                <w:b/>
              </w:rPr>
              <w:t>(38) preambulumbekezdés:</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„A gyermekek (...) különös védelmet érdemelnek, (...) főként a gyermekek személyes adatainak (...) személyi vagy felhasználói profilok létrehozásának célját” szolgáló felhasználása tekintetében.</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13. és 14. cikk</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(60)</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Tájékoztatáshoz való jog.</w:t>
            </w:r>
          </w:p>
          <w:p w:rsidR="005D7465" w:rsidRPr="0083202D" w:rsidRDefault="005D7465" w:rsidP="005D7465">
            <w:pPr>
              <w:spacing w:after="0" w:line="240" w:lineRule="auto"/>
              <w:jc w:val="both"/>
              <w:rPr>
                <w:rFonts w:ascii="Times New Roman" w:hAnsi="Times New Roman"/>
              </w:rPr>
            </w:pPr>
            <w:r>
              <w:rPr>
                <w:b/>
              </w:rPr>
              <w:t>(60) preambulumbekezdés</w:t>
            </w:r>
            <w:r>
              <w:t>:</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„Az érintettet továbbá </w:t>
            </w:r>
            <w:r>
              <w:rPr>
                <w:rFonts w:ascii="Times New Roman" w:hAnsi="Times New Roman"/>
                <w:i/>
                <w:sz w:val="22"/>
              </w:rPr>
              <w:t>a profilalkotás tényéről és annak következményeiről tájékoztatni kell</w:t>
            </w:r>
            <w:r>
              <w:rPr>
                <w:rFonts w:ascii="Times New Roman" w:hAnsi="Times New Roman"/>
                <w:sz w:val="22"/>
              </w:rPr>
              <w:t>.”</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15. cikk</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(63)</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Hozzáféréshez való jog.</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(63) preambulumbekezdés:</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„a jogot arra, hogy megismerje a személyes adatok kezelésének céljait, (...) valamint azt, hogy az adatkezelés – </w:t>
            </w:r>
            <w:r>
              <w:rPr>
                <w:rFonts w:ascii="Times New Roman" w:hAnsi="Times New Roman"/>
                <w:i/>
                <w:sz w:val="22"/>
              </w:rPr>
              <w:t>legalább</w:t>
            </w:r>
            <w:r>
              <w:rPr>
                <w:rFonts w:ascii="Times New Roman" w:hAnsi="Times New Roman"/>
                <w:sz w:val="22"/>
              </w:rPr>
              <w:t xml:space="preserve"> abban az esetben, amikor az </w:t>
            </w:r>
            <w:r>
              <w:rPr>
                <w:rFonts w:ascii="Times New Roman" w:hAnsi="Times New Roman"/>
                <w:sz w:val="22"/>
              </w:rPr>
              <w:lastRenderedPageBreak/>
              <w:t>profilalkotásra épül – milyen következményekkel járhat, továbbá, hogy minderről tájékoztatást kapjon”.</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lastRenderedPageBreak/>
              <w:t>a 21. cikk (1), (2) és (3) bekezdése</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(70)</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Profilalkotás elleni tiltakozáshoz való jog.</w:t>
            </w:r>
          </w:p>
          <w:p w:rsidR="005D7465" w:rsidRPr="0083202D" w:rsidRDefault="005D7465" w:rsidP="005D7465">
            <w:pPr>
              <w:spacing w:after="0" w:line="240" w:lineRule="auto"/>
              <w:jc w:val="both"/>
              <w:rPr>
                <w:rFonts w:ascii="Times New Roman" w:hAnsi="Times New Roman"/>
              </w:rPr>
            </w:pPr>
            <w:r>
              <w:rPr>
                <w:rFonts w:ascii="Times New Roman" w:hAnsi="Times New Roman"/>
                <w:b/>
              </w:rPr>
              <w:t>(70) preambulumbekezdés</w:t>
            </w:r>
          </w:p>
          <w:p w:rsidR="005D7465" w:rsidRPr="0083202D" w:rsidRDefault="005D7465" w:rsidP="005D7465">
            <w:pPr>
              <w:spacing w:after="0" w:line="240" w:lineRule="auto"/>
              <w:jc w:val="both"/>
              <w:rPr>
                <w:rFonts w:ascii="Times New Roman" w:hAnsi="Times New Roman"/>
                <w:b/>
              </w:rPr>
            </w:pPr>
            <w:r>
              <w:rPr>
                <w:rFonts w:ascii="Times New Roman" w:hAnsi="Times New Roman"/>
              </w:rPr>
              <w:t>„(...) a jogot arra, hogy bármikor (...). tiltakozzon az ilyen adatkezelés ellen, amelybe beletartozik a profilalkotás is, ha az a közvetlen üzletszerzéshez kapcsolódik.”</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23. cikk</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(73)</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(73) preambulumbekezdés:</w:t>
            </w:r>
          </w:p>
          <w:p w:rsidR="005D7465" w:rsidRPr="0039332D" w:rsidRDefault="005D7465" w:rsidP="005D7465">
            <w:pPr>
              <w:pStyle w:val="ListParagraph"/>
              <w:spacing w:after="0" w:line="240" w:lineRule="auto"/>
              <w:ind w:left="0"/>
              <w:jc w:val="both"/>
            </w:pPr>
            <w:r>
              <w:rPr>
                <w:rFonts w:ascii="Times New Roman" w:hAnsi="Times New Roman"/>
              </w:rPr>
              <w:t xml:space="preserve">„Az uniós és a tagállami jog olyan mértékig korlátozhat bizonyos elveket, (...) a tiltakozáshoz való jogot, a profilalkotáson alapuló döntéseket (...), amilyen mértékig ez egy demokratikus társadalomban szükségesnek és arányosnak tekinthető(...)” konkrét közérdekű </w:t>
            </w:r>
            <w:r w:rsidR="0039332D">
              <w:rPr>
                <w:rFonts w:ascii="Times New Roman" w:hAnsi="Times New Roman"/>
              </w:rPr>
              <w:t>célkitűzések védelme érdekében.</w:t>
            </w:r>
          </w:p>
        </w:tc>
      </w:tr>
      <w:tr w:rsidR="005D7465" w:rsidRPr="0083202D" w:rsidTr="005D7465">
        <w:trPr>
          <w:trHeight w:val="1538"/>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 35. cikk (3) bekezdésének a) pontja</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(91)</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DPIA-t kell végezni abban az esetben, ha „természetes személyekre vonatkozó egyes személyes jellemzők olyan módszeres és kiterjedt értékelése történik, amely automatizált adatkezelésen – ideértve a profilalkotást is – alapul, és amelyre a természetes személy tekintetében joghatással bíró vagy a természetes személyt hasonlóképpen jelentős mértékben érintő döntések épülnek;” </w:t>
            </w:r>
            <w:r>
              <w:rPr>
                <w:rFonts w:ascii="Times New Roman" w:hAnsi="Times New Roman"/>
                <w:b/>
              </w:rPr>
              <w:t>Idetartozik a profilalkotást magában foglaló olyan döntéshozatal is, amely nem kizárólag automatizált.</w:t>
            </w:r>
          </w:p>
        </w:tc>
      </w:tr>
    </w:tbl>
    <w:p w:rsidR="004E053B" w:rsidRDefault="004E053B" w:rsidP="007A4121">
      <w:pPr>
        <w:pStyle w:val="Heading1"/>
        <w:numPr>
          <w:ilvl w:val="0"/>
          <w:numId w:val="0"/>
        </w:numPr>
      </w:pPr>
    </w:p>
    <w:p w:rsidR="004E053B" w:rsidRPr="00F82B0E" w:rsidRDefault="004E053B" w:rsidP="004E053B">
      <w:pPr>
        <w:pStyle w:val="Heading2"/>
        <w:numPr>
          <w:ilvl w:val="0"/>
          <w:numId w:val="0"/>
        </w:numPr>
      </w:pPr>
      <w:bookmarkStart w:id="122" w:name="_Toc504568086"/>
      <w:bookmarkStart w:id="123" w:name="_Toc521658179"/>
      <w:r>
        <w:t>A GDPR-nek a 22. cikkben meghatározott automatizált döntéshozatalra hivatkozó kulcsfontosságú rendelkezései</w:t>
      </w:r>
      <w:bookmarkEnd w:id="122"/>
      <w:bookmarkEnd w:id="123"/>
    </w:p>
    <w:tbl>
      <w:tblPr>
        <w:tblStyle w:val="TableGrid"/>
        <w:tblW w:w="9248" w:type="dxa"/>
        <w:tblLook w:val="04A0" w:firstRow="1" w:lastRow="0" w:firstColumn="1" w:lastColumn="0" w:noHBand="0" w:noVBand="1"/>
      </w:tblPr>
      <w:tblGrid>
        <w:gridCol w:w="2020"/>
        <w:gridCol w:w="2294"/>
        <w:gridCol w:w="4934"/>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Cikk</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Preambulumbekezdés</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Megjegyzések</w:t>
            </w:r>
          </w:p>
        </w:tc>
      </w:tr>
      <w:tr w:rsidR="004E053B" w:rsidRPr="00140AF8" w:rsidTr="00813749">
        <w:tc>
          <w:tcPr>
            <w:tcW w:w="959" w:type="dxa"/>
          </w:tcPr>
          <w:p w:rsidR="004E053B" w:rsidRPr="00140AF8" w:rsidRDefault="004E053B" w:rsidP="00813749">
            <w:pPr>
              <w:spacing w:line="240" w:lineRule="auto"/>
              <w:jc w:val="both"/>
              <w:rPr>
                <w:rFonts w:ascii="Times New Roman" w:hAnsi="Times New Roman"/>
              </w:rPr>
            </w:pPr>
            <w:r>
              <w:rPr>
                <w:b/>
              </w:rPr>
              <w:t>a 13. cikk (2) bekezdésének f) pontja</w:t>
            </w:r>
            <w:r>
              <w:t xml:space="preserve"> és </w:t>
            </w:r>
            <w:r>
              <w:rPr>
                <w:b/>
              </w:rPr>
              <w:t>a 14. cikk (2) bekezdésének g)</w:t>
            </w:r>
            <w:r>
              <w:t> </w:t>
            </w:r>
            <w:r>
              <w:rPr>
                <w:b/>
              </w:rPr>
              <w:t>pontja</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(61)</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Tájékoztatáshoz való jog:</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A </w:t>
            </w:r>
            <w:r>
              <w:rPr>
                <w:rFonts w:ascii="Times New Roman" w:hAnsi="Times New Roman"/>
                <w:b/>
              </w:rPr>
              <w:t xml:space="preserve">22. cikk (1) </w:t>
            </w:r>
            <w:r>
              <w:rPr>
                <w:rFonts w:ascii="Times New Roman" w:hAnsi="Times New Roman"/>
              </w:rPr>
              <w:t xml:space="preserve">és </w:t>
            </w:r>
            <w:r>
              <w:rPr>
                <w:rFonts w:ascii="Times New Roman" w:hAnsi="Times New Roman"/>
                <w:b/>
              </w:rPr>
              <w:t>(4)</w:t>
            </w:r>
            <w:r>
              <w:rPr>
                <w:rFonts w:ascii="Times New Roman" w:hAnsi="Times New Roman"/>
              </w:rPr>
              <w:t> bekezdése szerint automatizált döntéshozatal tényéről;</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az alkalmazott logikára vonatkozó érthető információk;</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az ilyen adatkezelés jelentőségéről és várható következményeiről.</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a 15. pont h) pontja</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Különleges hozzáférési jogok a kizárólag automatizált döntéshozatal – ideértve a profilalkotást is – tényére vonatkozó információhoz.</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a 22. cikk (1) bekezdése</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A kizárólag automatizált adatkezelésen – ideértve a profilalkotást is – alapuló döntéshozatal tilalma, amennyiben ez joghatással/hason</w:t>
            </w:r>
            <w:r w:rsidR="0039332D">
              <w:rPr>
                <w:rFonts w:ascii="Times New Roman" w:hAnsi="Times New Roman"/>
              </w:rPr>
              <w:t>lóképpen jelentős hatással jár.</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t>Az iránymutatás főszövegében szereplő magyarázat mellett az alábbi pontok részletezik, mi indokolja azt, hogy a 22. cikket tilalomként kell értelmezni:</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Bár a III. fejezet az érintettek jogairól szól, a 12–22. cikk rendelkezései nem kizárólag a jogok </w:t>
            </w:r>
            <w:r>
              <w:rPr>
                <w:rFonts w:ascii="Times New Roman" w:hAnsi="Times New Roman"/>
                <w:i/>
              </w:rPr>
              <w:t>aktív</w:t>
            </w:r>
            <w:r>
              <w:rPr>
                <w:rFonts w:ascii="Times New Roman" w:hAnsi="Times New Roman"/>
              </w:rPr>
              <w:t xml:space="preserve"> gyakorlásával foglalkoznak. Némelyik jog</w:t>
            </w:r>
            <w:r>
              <w:rPr>
                <w:rFonts w:ascii="Times New Roman" w:hAnsi="Times New Roman"/>
                <w:i/>
              </w:rPr>
              <w:t xml:space="preserve"> passzív</w:t>
            </w:r>
            <w:r>
              <w:rPr>
                <w:rFonts w:ascii="Times New Roman" w:hAnsi="Times New Roman"/>
              </w:rPr>
              <w:t xml:space="preserve">; nem mindegyik </w:t>
            </w:r>
            <w:r>
              <w:rPr>
                <w:rFonts w:ascii="Times New Roman" w:hAnsi="Times New Roman"/>
              </w:rPr>
              <w:lastRenderedPageBreak/>
              <w:t>vonatkozik olyan helyzetekre, ahol az érintett valamilyen intézkedést tesz, azaz kérelmet vagy panaszt vagy valamilyen követelést nyújt be. A 15–18. és a 20–21. cikk arról szól, hogy az érintett aktívan gyakorolja a jogait, míg a 13. és 14. cikk az adatkezelő által az érintett bármilyen aktív részvétele nélkül ellátandó feladatokról szól. Tehát a 22. cikk szerepeltetése ebben a fejezetben önmagában nem azt jelenti, hogy az jogot képez a tiltakozásra;</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a 12. cikk (2) bekezdése „az érintett 15–22. cikk szerinti jogainak a gyakorlását” említi; de ez nem jelenti azt, hogy magát a 22. cikk (1) bekezdését jogként kell értelmezni. </w:t>
            </w:r>
            <w:r>
              <w:rPr>
                <w:rFonts w:ascii="Times New Roman" w:hAnsi="Times New Roman"/>
                <w:i/>
              </w:rPr>
              <w:t>Van</w:t>
            </w:r>
            <w:r>
              <w:rPr>
                <w:rFonts w:ascii="Times New Roman" w:hAnsi="Times New Roman"/>
              </w:rPr>
              <w:t xml:space="preserve"> egy aktív jog a 22. cikkben, de az része azon garanciáknak, amelyeket azokban az esetekben kell alkalmazni, ahol az automatizált döntéshozatal megengedett (a 22. cikk (2) bekezdésének a)–c) pontja) – az emberi beavatkozás kéréséhez való jog, álláspont kifejtésének joga, és döntés megtámadásának joga. Ez csak ezekben az esetekben alkalmazandó, mert a 22. cikk (1) bekezdésében leírt adatkezelés más alapokon tilos;</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a 22. cikk a GDPR „A tiltakozáshoz való jog </w:t>
            </w:r>
            <w:r>
              <w:rPr>
                <w:rFonts w:ascii="Times New Roman" w:hAnsi="Times New Roman"/>
                <w:b/>
              </w:rPr>
              <w:t>és</w:t>
            </w:r>
            <w:r>
              <w:rPr>
                <w:rFonts w:ascii="Times New Roman" w:hAnsi="Times New Roman"/>
              </w:rPr>
              <w:t xml:space="preserve"> automatizált döntéshozatal egyedi ügyekben” című fejezetében található, ami azt sugallja, hogy a 21. cikkel ellentétben a 22. cikk </w:t>
            </w:r>
            <w:r>
              <w:rPr>
                <w:rFonts w:ascii="Times New Roman" w:hAnsi="Times New Roman"/>
                <w:i/>
              </w:rPr>
              <w:t xml:space="preserve">nem </w:t>
            </w:r>
            <w:r>
              <w:rPr>
                <w:rFonts w:ascii="Times New Roman" w:hAnsi="Times New Roman"/>
              </w:rPr>
              <w:t>a tiltakozáshoz való jogra vonatkozik. Ez tovább erősíti az, hogy a 22. cikkből hiányzik egy azzal egyenértékű konkrét tájékoztatási kötelezettség, mint amilyen a 21. cikk (4) bekezdésében található;</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Ha a 22. cikket a tiltakozáshoz való jogként kellene értelmezni, akkor a 22. cikk (2) bekezdésének c) pontjában szereplő kivételnek nem lenne sok értelme. A kivétel kimondja, hogy végezhető automatizált döntéshozatal, ha az érintett ahhoz kifejezetten hozzájárult (lásd alább). Ez ellentmondásos lenne, hiszen nem lehetséges, hogy az érintett ugyanahhoz az adatkezeléshez hozzá is jár</w:t>
            </w:r>
            <w:r w:rsidR="0039332D">
              <w:rPr>
                <w:rFonts w:ascii="Times New Roman" w:hAnsi="Times New Roman"/>
              </w:rPr>
              <w:t>uljon és tiltakozzon is ellene;</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 xml:space="preserve">A tiltakozás azt jelentené, hogy emberi beavatkozásnak kell történnie. A 22. cikk (2) bekezdésének a) és c) pontja szerinti kivételek felülírják a 22. cikk (1) bekezdésének fő szabályát, de csak amennyiben az emberi beavatkozás az </w:t>
            </w:r>
            <w:r>
              <w:rPr>
                <w:rFonts w:ascii="Times New Roman" w:hAnsi="Times New Roman"/>
              </w:rPr>
              <w:lastRenderedPageBreak/>
              <w:t>érintett rendelkezésére áll, ahogy a 22. cikk (3) bekezdése meghatározza. Mivel az érintett (tiltakozás útján) már kérte az emberi beavatkozást, a 22. cikk (2) bekezdésének a) és c) pontját minden esetben automatikusan megkerülnék, ezáltal lényegében értelmüket veszítenék.</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b/>
              </w:rPr>
              <w:t>(71) preambulumbekezdés</w:t>
            </w:r>
            <w:r>
              <w:t>:</w:t>
            </w: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 Ilyen adatkezelésnek minősül a „profilalkotás” is, vagyis a természetes személyekre vonatkozó személyes jellemzők bármilyen automatizált személyes adatok kezelése keretében történő kiértékelése, különösen az érintett munkahelyi teljesítményére, gazdasági helyzetére, egészségi állapotára, személyes preferenciáira vagy érdeklődési körökre, megbízhatóságra vagy viselkedésre, tartózkodási helyére vagy mozgására vonatkozó jellemzők ele</w:t>
            </w:r>
            <w:r w:rsidR="002D5F6F">
              <w:rPr>
                <w:rFonts w:ascii="Times New Roman" w:hAnsi="Times New Roman"/>
              </w:rPr>
              <w:t>mzésére és előrejelzésére”(...)</w:t>
            </w:r>
            <w:r>
              <w:rPr>
                <w:rFonts w:ascii="Times New Roman" w:hAnsi="Times New Roman"/>
              </w:rPr>
              <w:t xml:space="preserve"> „</w:t>
            </w:r>
            <w:r>
              <w:rPr>
                <w:rFonts w:ascii="Times New Roman" w:hAnsi="Times New Roman"/>
                <w:i/>
              </w:rPr>
              <w:t>Az ilyen intézkedés gyermekre nem vonatkozhat.”</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lastRenderedPageBreak/>
              <w:t>a 22. cikk (2) bekezdésének a)–c) pontja</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t xml:space="preserve">A </w:t>
            </w:r>
            <w:r>
              <w:rPr>
                <w:rFonts w:ascii="Times New Roman" w:hAnsi="Times New Roman"/>
                <w:b/>
              </w:rPr>
              <w:t>22. cikk (2) bekezdése</w:t>
            </w:r>
            <w:r>
              <w:t xml:space="preserve"> </w:t>
            </w:r>
            <w:r>
              <w:rPr>
                <w:rFonts w:ascii="Times New Roman" w:hAnsi="Times New Roman"/>
              </w:rPr>
              <w:t xml:space="preserve">feloldja az adatkezelés tilalmát </w:t>
            </w:r>
            <w:r>
              <w:rPr>
                <w:rFonts w:ascii="Times New Roman" w:hAnsi="Times New Roman"/>
                <w:b/>
              </w:rPr>
              <w:t>a)</w:t>
            </w:r>
            <w:r>
              <w:rPr>
                <w:rFonts w:ascii="Times New Roman" w:hAnsi="Times New Roman"/>
              </w:rPr>
              <w:t xml:space="preserve"> szerződés megkötése vagy teljesítése érdekében, </w:t>
            </w:r>
            <w:r>
              <w:rPr>
                <w:rFonts w:ascii="Times New Roman" w:hAnsi="Times New Roman"/>
                <w:b/>
              </w:rPr>
              <w:t>b)</w:t>
            </w:r>
            <w:r>
              <w:rPr>
                <w:rFonts w:ascii="Times New Roman" w:hAnsi="Times New Roman"/>
              </w:rPr>
              <w:t xml:space="preserve"> ha uniós vagy tagállami jog lehetővé teszi vagy </w:t>
            </w:r>
            <w:r>
              <w:rPr>
                <w:rFonts w:ascii="Times New Roman" w:hAnsi="Times New Roman"/>
                <w:b/>
              </w:rPr>
              <w:t>c)</w:t>
            </w:r>
            <w:r>
              <w:rPr>
                <w:rFonts w:ascii="Times New Roman" w:hAnsi="Times New Roman"/>
              </w:rPr>
              <w:t xml:space="preserve"> k</w:t>
            </w:r>
            <w:r w:rsidR="002D5F6F">
              <w:rPr>
                <w:rFonts w:ascii="Times New Roman" w:hAnsi="Times New Roman"/>
              </w:rPr>
              <w:t>ifejezett hozzájárulás alapján.</w:t>
            </w:r>
          </w:p>
          <w:p w:rsidR="004E053B" w:rsidRPr="00140AF8" w:rsidRDefault="004E053B" w:rsidP="00813749">
            <w:pPr>
              <w:spacing w:after="0" w:line="240" w:lineRule="auto"/>
              <w:jc w:val="both"/>
              <w:rPr>
                <w:rFonts w:ascii="Times New Roman" w:hAnsi="Times New Roman"/>
              </w:rPr>
            </w:pPr>
            <w:r>
              <w:t xml:space="preserve">A </w:t>
            </w:r>
            <w:r>
              <w:rPr>
                <w:rFonts w:ascii="Times New Roman" w:hAnsi="Times New Roman"/>
                <w:b/>
              </w:rPr>
              <w:t>(71) preambulumbekezdés</w:t>
            </w:r>
            <w:r>
              <w:t xml:space="preserve"> </w:t>
            </w:r>
            <w:r>
              <w:rPr>
                <w:rFonts w:ascii="Times New Roman" w:hAnsi="Times New Roman"/>
              </w:rPr>
              <w:t xml:space="preserve">további kontextust biztosít a </w:t>
            </w:r>
            <w:r>
              <w:rPr>
                <w:rFonts w:ascii="Times New Roman" w:hAnsi="Times New Roman"/>
                <w:b/>
              </w:rPr>
              <w:t>22. cikk (2) bekezdésének b) pontjához</w:t>
            </w:r>
            <w:r>
              <w:rPr>
                <w:rFonts w:ascii="Times New Roman" w:hAnsi="Times New Roman"/>
              </w:rPr>
              <w:t xml:space="preserve">, és kimondja, hogy a </w:t>
            </w:r>
            <w:r>
              <w:rPr>
                <w:rFonts w:ascii="Times New Roman" w:hAnsi="Times New Roman"/>
                <w:b/>
              </w:rPr>
              <w:t>22. cikk (1) </w:t>
            </w:r>
            <w:r>
              <w:rPr>
                <w:b/>
              </w:rPr>
              <w:t>bekezdésében</w:t>
            </w:r>
            <w:r>
              <w:t xml:space="preserve"> </w:t>
            </w:r>
            <w:r w:rsidRPr="002D5F6F">
              <w:rPr>
                <w:rFonts w:ascii="Times New Roman" w:hAnsi="Times New Roman"/>
              </w:rPr>
              <w:t>ismertetett adatkezelés:</w:t>
            </w:r>
          </w:p>
          <w:p w:rsidR="004E053B" w:rsidRPr="00140AF8" w:rsidRDefault="004E053B" w:rsidP="00813749">
            <w:pPr>
              <w:spacing w:after="0" w:line="240" w:lineRule="auto"/>
              <w:jc w:val="both"/>
              <w:rPr>
                <w:rFonts w:ascii="Times New Roman" w:hAnsi="Times New Roman"/>
              </w:rPr>
            </w:pPr>
            <w:r>
              <w:rPr>
                <w:rFonts w:ascii="Times New Roman" w:hAnsi="Times New Roman"/>
              </w:rPr>
              <w:t>„megengedhető azonban (...), ha azt az olyan uniós vagy tagállami jog kifejezetten engedélyezi, amelynek hatálya alá az adatkezelő tartozik, például a csalások és az adócsalás nyomon követése és megelőzése céljából, feltéve, hogy erre az uniós intézmények vagy a tagállami felügyeleti hatóságok szabályaival, előírásaival és ajánlásaival összhangban kerül sor, vagy az adatkezelő által nyújtott szolgáltatás biztonságának és megbízhatóságának a biztosítása érdekében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a 22. cikk (3) bekezdése</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83202D" w:rsidRDefault="004E053B" w:rsidP="00813749">
            <w:pPr>
              <w:spacing w:after="0" w:line="240" w:lineRule="auto"/>
              <w:jc w:val="both"/>
              <w:rPr>
                <w:rFonts w:ascii="Times New Roman" w:hAnsi="Times New Roman"/>
              </w:rPr>
            </w:pPr>
            <w:r>
              <w:t xml:space="preserve">A </w:t>
            </w:r>
            <w:r>
              <w:rPr>
                <w:rFonts w:ascii="Times New Roman" w:hAnsi="Times New Roman"/>
                <w:b/>
              </w:rPr>
              <w:t>22. cikk</w:t>
            </w:r>
            <w:r>
              <w:t xml:space="preserve"> </w:t>
            </w:r>
            <w:r>
              <w:rPr>
                <w:rFonts w:ascii="Times New Roman" w:hAnsi="Times New Roman"/>
                <w:b/>
              </w:rPr>
              <w:t>(3) bekezdése és a (71) preambulumbekezdés</w:t>
            </w:r>
            <w:r>
              <w:rPr>
                <w:rFonts w:ascii="Times New Roman" w:hAnsi="Times New Roman"/>
              </w:rPr>
              <w:t xml:space="preserve"> is rögzíti, hogy az adatkezelésre még a </w:t>
            </w:r>
            <w:r>
              <w:rPr>
                <w:rFonts w:ascii="Times New Roman" w:hAnsi="Times New Roman"/>
                <w:b/>
              </w:rPr>
              <w:t>22. cikk (2) bekezdésének a)</w:t>
            </w:r>
            <w:r>
              <w:rPr>
                <w:rFonts w:ascii="Times New Roman" w:hAnsi="Times New Roman"/>
              </w:rPr>
              <w:t xml:space="preserve"> és </w:t>
            </w:r>
            <w:r>
              <w:rPr>
                <w:rFonts w:ascii="Times New Roman" w:hAnsi="Times New Roman"/>
                <w:b/>
              </w:rPr>
              <w:t xml:space="preserve">c) pontja </w:t>
            </w:r>
            <w:r>
              <w:rPr>
                <w:rFonts w:ascii="Times New Roman" w:hAnsi="Times New Roman"/>
              </w:rPr>
              <w:t>szerinti esetekben is megfelelő garanciáknak kell vonatkoznia.</w:t>
            </w:r>
          </w:p>
          <w:p w:rsidR="004E053B" w:rsidRPr="0083202D" w:rsidRDefault="002D5F6F" w:rsidP="00813749">
            <w:pPr>
              <w:spacing w:after="0" w:line="240" w:lineRule="auto"/>
              <w:jc w:val="both"/>
              <w:rPr>
                <w:rFonts w:ascii="Times New Roman" w:hAnsi="Times New Roman"/>
              </w:rPr>
            </w:pPr>
            <w:r>
              <w:rPr>
                <w:rFonts w:ascii="Times New Roman" w:hAnsi="Times New Roman"/>
                <w:b/>
              </w:rPr>
              <w:t>(71) preambulumbekezdés:</w:t>
            </w:r>
          </w:p>
          <w:p w:rsidR="004E053B" w:rsidRPr="0083202D" w:rsidRDefault="004E053B" w:rsidP="00813749">
            <w:pPr>
              <w:spacing w:after="0" w:line="240" w:lineRule="auto"/>
              <w:jc w:val="both"/>
              <w:rPr>
                <w:rFonts w:ascii="Times New Roman" w:hAnsi="Times New Roman"/>
              </w:rPr>
            </w:pPr>
            <w:r>
              <w:rPr>
                <w:rFonts w:ascii="Times New Roman" w:hAnsi="Times New Roman"/>
              </w:rPr>
              <w:t>„amelybe beletartozik az érintett külön tájékoztatása és az ahhoz való joga, hogy emberi beavatkozást kérjen és kapjon, különösen, hogy kifejtse álláspontját, hogy magyarázatot kapjon az ilyen értékelés alapján hozott döntésről és hogy megtámadja a döntést. Az ilyen intézkedés gyermekre nem vonatkozhat.”</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23. cikk</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(73)</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(73) preambulumbekezdés:</w:t>
            </w:r>
          </w:p>
          <w:p w:rsidR="004E053B" w:rsidRPr="002D5F6F" w:rsidRDefault="004E053B" w:rsidP="00813749">
            <w:pPr>
              <w:pStyle w:val="ListParagraph"/>
              <w:spacing w:after="0" w:line="240" w:lineRule="auto"/>
              <w:ind w:left="0"/>
              <w:jc w:val="both"/>
            </w:pPr>
            <w:r>
              <w:rPr>
                <w:rFonts w:ascii="Times New Roman" w:hAnsi="Times New Roman"/>
              </w:rPr>
              <w:t xml:space="preserve">„Az uniós és a tagállami jog olyan mértékig </w:t>
            </w:r>
            <w:r>
              <w:rPr>
                <w:rFonts w:ascii="Times New Roman" w:hAnsi="Times New Roman"/>
              </w:rPr>
              <w:lastRenderedPageBreak/>
              <w:t xml:space="preserve">korlátozhat bizonyos elveket, (...) a tiltakozáshoz való jogot, a profilalkotáson alapuló döntéseket (...), amilyen mértékig ez egy demokratikus társadalomban szükségesnek és arányosnak tekinthető (...)” konkrét közérdekű </w:t>
            </w:r>
            <w:r w:rsidR="002D5F6F">
              <w:rPr>
                <w:rFonts w:ascii="Times New Roman" w:hAnsi="Times New Roman"/>
              </w:rPr>
              <w:t>célkitűzések védelme érdekében.</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lastRenderedPageBreak/>
              <w:t>a 35. cikk (3) bekezdésének a) pontja</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(91)</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Adatvédelmi hatásvizsgálat elv</w:t>
            </w:r>
            <w:r w:rsidR="002D5F6F">
              <w:rPr>
                <w:rFonts w:ascii="Times New Roman" w:hAnsi="Times New Roman"/>
              </w:rPr>
              <w:t>égzésére vonatkozó követelmény.</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a 47. cikk (2) bekezdésének e) pontja</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A </w:t>
            </w:r>
            <w:r>
              <w:rPr>
                <w:rFonts w:ascii="Times New Roman" w:hAnsi="Times New Roman"/>
                <w:b/>
              </w:rPr>
              <w:t xml:space="preserve">47. cikk (1) bekezdésében </w:t>
            </w:r>
            <w:r>
              <w:rPr>
                <w:rFonts w:ascii="Times New Roman" w:hAnsi="Times New Roman"/>
              </w:rPr>
              <w:t xml:space="preserve">említett kötelező erejű vállalati szabályok tartalmazzák legalább „(...) a </w:t>
            </w:r>
            <w:r>
              <w:rPr>
                <w:rFonts w:ascii="Times New Roman" w:hAnsi="Times New Roman"/>
                <w:b/>
              </w:rPr>
              <w:t>22. cikk</w:t>
            </w:r>
            <w:r>
              <w:rPr>
                <w:rFonts w:ascii="Times New Roman" w:hAnsi="Times New Roman"/>
              </w:rPr>
              <w:t xml:space="preserve"> szerinti, kizárólag automatizált adatkezelésen – ideértve a profilalkotást is – alapuló döntések alóli mentesülés jogát (...)”</w:t>
            </w:r>
          </w:p>
        </w:tc>
      </w:tr>
    </w:tbl>
    <w:p w:rsidR="00935496" w:rsidRDefault="00935496" w:rsidP="00617EC0">
      <w:pPr>
        <w:spacing w:after="0"/>
        <w:jc w:val="both"/>
      </w:pPr>
    </w:p>
    <w:p w:rsidR="003A3205" w:rsidRDefault="003A3205" w:rsidP="00935496">
      <w:pPr>
        <w:pStyle w:val="Heading1"/>
        <w:numPr>
          <w:ilvl w:val="0"/>
          <w:numId w:val="0"/>
        </w:numPr>
        <w:ind w:left="426"/>
      </w:pPr>
      <w:bookmarkStart w:id="124" w:name="_Toc504568087"/>
    </w:p>
    <w:p w:rsidR="003A3205" w:rsidRDefault="003A3205" w:rsidP="00935496">
      <w:pPr>
        <w:pStyle w:val="Heading1"/>
        <w:numPr>
          <w:ilvl w:val="0"/>
          <w:numId w:val="0"/>
        </w:numPr>
        <w:ind w:left="426"/>
      </w:pPr>
    </w:p>
    <w:p w:rsidR="00935496" w:rsidRDefault="00935496" w:rsidP="00935496">
      <w:pPr>
        <w:pStyle w:val="Heading1"/>
        <w:numPr>
          <w:ilvl w:val="0"/>
          <w:numId w:val="0"/>
        </w:numPr>
        <w:ind w:left="426"/>
      </w:pPr>
      <w:bookmarkStart w:id="125" w:name="_Toc521658180"/>
      <w:r>
        <w:t>3. melléklet – További irodalom</w:t>
      </w:r>
      <w:bookmarkEnd w:id="124"/>
      <w:bookmarkEnd w:id="125"/>
    </w:p>
    <w:p w:rsidR="00146134" w:rsidRDefault="0083202D" w:rsidP="00617EC0">
      <w:pPr>
        <w:spacing w:after="0"/>
        <w:jc w:val="both"/>
        <w:rPr>
          <w:rFonts w:ascii="TimesNewRomanPSMT" w:hAnsi="TimesNewRomanPSMT"/>
          <w:color w:val="000000"/>
        </w:rPr>
      </w:pPr>
      <w:r>
        <w:rPr>
          <w:rFonts w:ascii="TimesNewRomanPSMT" w:hAnsi="TimesNewRomanPSMT"/>
          <w:color w:val="000000"/>
        </w:rPr>
        <w:t>Ez az iránymutatás figyelembe vette az alábbiakat:</w:t>
      </w:r>
    </w:p>
    <w:p w:rsidR="00935496" w:rsidRPr="00555627" w:rsidRDefault="00935496" w:rsidP="00617EC0">
      <w:pPr>
        <w:spacing w:after="0"/>
        <w:jc w:val="both"/>
        <w:rPr>
          <w:rFonts w:ascii="TimesNewRomanPSMT" w:hAnsi="TimesNewRomanPSMT"/>
          <w:color w:val="000000"/>
        </w:rPr>
      </w:pPr>
    </w:p>
    <w:p w:rsidR="0083202D" w:rsidRPr="00E06402" w:rsidRDefault="00E73752" w:rsidP="00AB41A1">
      <w:pPr>
        <w:pStyle w:val="ListParagraph"/>
        <w:numPr>
          <w:ilvl w:val="0"/>
          <w:numId w:val="2"/>
        </w:numPr>
        <w:ind w:left="357" w:hanging="357"/>
        <w:rPr>
          <w:rFonts w:ascii="Times New Roman" w:hAnsi="Times New Roman"/>
          <w:bCs/>
        </w:rPr>
      </w:pPr>
      <w:hyperlink r:id="rId8">
        <w:r w:rsidR="009E7117">
          <w:rPr>
            <w:rStyle w:val="Hyperlink"/>
            <w:rFonts w:ascii="Times New Roman" w:hAnsi="Times New Roman"/>
          </w:rPr>
          <w:t>A WP29 szakvéleménye az EU általános adatvédelmi rendelete szerinti profilalkotás fogalommeghatározásának és az erre vonatkozó rendelkezés alapvető elemeiről. Elfogadás dátuma: 2013. május 13.</w:t>
        </w:r>
      </w:hyperlink>
      <w:r w:rsidR="009E7117">
        <w:rPr>
          <w:rFonts w:ascii="Times New Roman" w:hAnsi="Times New Roman"/>
        </w:rPr>
        <w:t xml:space="preserve">; </w:t>
      </w:r>
    </w:p>
    <w:p w:rsidR="0083202D" w:rsidRDefault="00E73752" w:rsidP="00AB41A1">
      <w:pPr>
        <w:pStyle w:val="ListParagraph"/>
        <w:numPr>
          <w:ilvl w:val="0"/>
          <w:numId w:val="2"/>
        </w:numPr>
        <w:ind w:left="357" w:hanging="357"/>
        <w:rPr>
          <w:rFonts w:ascii="Times New Roman" w:hAnsi="Times New Roman"/>
          <w:bCs/>
        </w:rPr>
      </w:pPr>
      <w:hyperlink r:id="rId9">
        <w:r w:rsidR="009E7117">
          <w:rPr>
            <w:rStyle w:val="Hyperlink"/>
            <w:rFonts w:ascii="Times New Roman" w:hAnsi="Times New Roman"/>
          </w:rPr>
          <w:t>A WP29 2/2010. számú véleménye az online viselkedésalapú reklámról, WP171</w:t>
        </w:r>
      </w:hyperlink>
      <w:r w:rsidR="009E7117">
        <w:rPr>
          <w:rFonts w:ascii="Times New Roman" w:hAnsi="Times New Roman"/>
        </w:rPr>
        <w:t xml:space="preserve">; </w:t>
      </w:r>
    </w:p>
    <w:p w:rsidR="0083202D" w:rsidRDefault="00E73752" w:rsidP="00AB41A1">
      <w:pPr>
        <w:pStyle w:val="ListParagraph"/>
        <w:numPr>
          <w:ilvl w:val="0"/>
          <w:numId w:val="2"/>
        </w:numPr>
        <w:ind w:left="357" w:hanging="357"/>
        <w:rPr>
          <w:rFonts w:ascii="Times New Roman" w:hAnsi="Times New Roman"/>
          <w:bCs/>
        </w:rPr>
      </w:pPr>
      <w:hyperlink r:id="rId10">
        <w:r w:rsidR="009E7117">
          <w:rPr>
            <w:rStyle w:val="Hyperlink"/>
            <w:rFonts w:ascii="Times New Roman" w:hAnsi="Times New Roman"/>
          </w:rPr>
          <w:t>A WP29 3/2013. számú véleménye a célhoz kötöttségéről, WP203</w:t>
        </w:r>
      </w:hyperlink>
      <w:r w:rsidR="009E7117">
        <w:rPr>
          <w:rFonts w:ascii="Times New Roman" w:hAnsi="Times New Roman"/>
        </w:rPr>
        <w:t>;</w:t>
      </w:r>
    </w:p>
    <w:p w:rsidR="0083202D" w:rsidRDefault="00E73752" w:rsidP="00AB41A1">
      <w:pPr>
        <w:pStyle w:val="ListParagraph"/>
        <w:numPr>
          <w:ilvl w:val="0"/>
          <w:numId w:val="2"/>
        </w:numPr>
        <w:ind w:left="357" w:hanging="357"/>
        <w:rPr>
          <w:rFonts w:ascii="Times New Roman" w:hAnsi="Times New Roman"/>
          <w:bCs/>
        </w:rPr>
      </w:pPr>
      <w:hyperlink r:id="rId11">
        <w:r w:rsidR="009E7117">
          <w:rPr>
            <w:rStyle w:val="Hyperlink"/>
            <w:rFonts w:ascii="Times New Roman" w:hAnsi="Times New Roman"/>
          </w:rPr>
          <w:t>A WP29 6/2014. számú véleménye az adatkezelő 95/46/EK irányelv 7. cikke szerinti jogszerű érdekeinek fogalmáról, WP217</w:t>
        </w:r>
      </w:hyperlink>
    </w:p>
    <w:p w:rsidR="0083202D" w:rsidRPr="00952F40" w:rsidRDefault="00E73752" w:rsidP="00AB41A1">
      <w:pPr>
        <w:pStyle w:val="ListParagraph"/>
        <w:numPr>
          <w:ilvl w:val="0"/>
          <w:numId w:val="2"/>
        </w:numPr>
        <w:ind w:left="357" w:hanging="357"/>
        <w:rPr>
          <w:rFonts w:ascii="Times New Roman" w:hAnsi="Times New Roman"/>
          <w:bCs/>
        </w:rPr>
      </w:pPr>
      <w:hyperlink r:id="rId12">
        <w:r w:rsidR="009E7117">
          <w:rPr>
            <w:rStyle w:val="Hyperlink"/>
            <w:rFonts w:ascii="Times New Roman" w:hAnsi="Times New Roman"/>
          </w:rPr>
          <w:t>A WP29 nyilatkozata az adatvédelmi jogi keretekre vonatkozó kockázatalapú megközelítés szerepéről, WP218;</w:t>
        </w:r>
      </w:hyperlink>
    </w:p>
    <w:p w:rsidR="0083202D" w:rsidRDefault="00E73752" w:rsidP="00AB41A1">
      <w:pPr>
        <w:pStyle w:val="ListParagraph"/>
        <w:numPr>
          <w:ilvl w:val="0"/>
          <w:numId w:val="2"/>
        </w:numPr>
        <w:ind w:left="357" w:hanging="357"/>
        <w:rPr>
          <w:rFonts w:ascii="Times New Roman" w:hAnsi="Times New Roman"/>
          <w:bCs/>
        </w:rPr>
      </w:pPr>
      <w:hyperlink r:id="rId13">
        <w:r w:rsidR="009E7117">
          <w:rPr>
            <w:rStyle w:val="Hyperlink"/>
            <w:rFonts w:ascii="Times New Roman" w:hAnsi="Times New Roman"/>
          </w:rPr>
          <w:t>A WP29 8/2014. számú véleménye a tárgyak internetének legfrissebb fejleményeiről, WP223</w:t>
        </w:r>
      </w:hyperlink>
      <w:r w:rsidR="009E7117">
        <w:rPr>
          <w:rFonts w:ascii="Times New Roman" w:hAnsi="Times New Roman"/>
        </w:rPr>
        <w:t>;</w:t>
      </w:r>
    </w:p>
    <w:p w:rsidR="0083202D" w:rsidRPr="001252F3" w:rsidRDefault="00E73752" w:rsidP="00AB41A1">
      <w:pPr>
        <w:pStyle w:val="ListParagraph"/>
        <w:numPr>
          <w:ilvl w:val="0"/>
          <w:numId w:val="2"/>
        </w:numPr>
        <w:ind w:left="357" w:hanging="357"/>
        <w:rPr>
          <w:rFonts w:ascii="Times New Roman" w:hAnsi="Times New Roman"/>
          <w:bCs/>
        </w:rPr>
      </w:pPr>
      <w:hyperlink r:id="rId14">
        <w:r w:rsidR="009E7117">
          <w:rPr>
            <w:rStyle w:val="Hyperlink"/>
            <w:rFonts w:ascii="Times New Roman" w:hAnsi="Times New Roman"/>
          </w:rPr>
          <w:t>A WP29 iránymutatása az adatvédelmi tisztviselőről (DPO), WP243</w:t>
        </w:r>
      </w:hyperlink>
      <w:r w:rsidR="009E7117">
        <w:rPr>
          <w:rFonts w:ascii="Times New Roman" w:hAnsi="Times New Roman"/>
        </w:rPr>
        <w:t>;</w:t>
      </w:r>
    </w:p>
    <w:p w:rsidR="00F46153" w:rsidRPr="00F46153" w:rsidRDefault="00E73752" w:rsidP="00AB41A1">
      <w:pPr>
        <w:pStyle w:val="ListParagraph"/>
        <w:numPr>
          <w:ilvl w:val="0"/>
          <w:numId w:val="2"/>
        </w:numPr>
        <w:ind w:left="357" w:hanging="357"/>
        <w:rPr>
          <w:rStyle w:val="Hyperlink"/>
          <w:rFonts w:ascii="Times New Roman" w:hAnsi="Times New Roman"/>
          <w:bCs/>
          <w:color w:val="auto"/>
          <w:u w:val="none"/>
        </w:rPr>
      </w:pPr>
      <w:hyperlink r:id="rId15">
        <w:r w:rsidR="009E7117">
          <w:rPr>
            <w:rStyle w:val="Hyperlink"/>
            <w:rFonts w:ascii="Times New Roman" w:hAnsi="Times New Roman"/>
          </w:rPr>
          <w:t>A WP29 iránymutatása az adatkezelő vagy adatfeldolgozó fő felügyeleti hatóságának meghatározásáról, WP244;</w:t>
        </w:r>
      </w:hyperlink>
    </w:p>
    <w:p w:rsidR="00F46153" w:rsidRPr="00F46153" w:rsidRDefault="00E73752" w:rsidP="00AB41A1">
      <w:pPr>
        <w:pStyle w:val="ListParagraph"/>
        <w:numPr>
          <w:ilvl w:val="0"/>
          <w:numId w:val="2"/>
        </w:numPr>
        <w:ind w:left="357" w:hanging="357"/>
        <w:rPr>
          <w:rStyle w:val="Hyperlink"/>
          <w:rFonts w:ascii="Times New Roman" w:hAnsi="Times New Roman"/>
          <w:bCs/>
          <w:color w:val="auto"/>
          <w:u w:val="none"/>
        </w:rPr>
      </w:pPr>
      <w:hyperlink r:id="rId16">
        <w:r w:rsidR="009E7117">
          <w:rPr>
            <w:rStyle w:val="Hyperlink"/>
            <w:rFonts w:ascii="Times New Roman" w:hAnsi="Times New Roman"/>
          </w:rPr>
          <w:t>A WP29 iránymutatása a hozzájárulásról, WP259</w:t>
        </w:r>
      </w:hyperlink>
    </w:p>
    <w:p w:rsidR="00F46153" w:rsidRPr="00F46153" w:rsidRDefault="00E73752" w:rsidP="00AB41A1">
      <w:pPr>
        <w:pStyle w:val="ListParagraph"/>
        <w:numPr>
          <w:ilvl w:val="0"/>
          <w:numId w:val="2"/>
        </w:numPr>
        <w:ind w:left="357" w:hanging="357"/>
        <w:rPr>
          <w:rStyle w:val="Hyperlink"/>
          <w:rFonts w:ascii="Times New Roman" w:hAnsi="Times New Roman"/>
          <w:bCs/>
          <w:color w:val="auto"/>
          <w:u w:val="none"/>
        </w:rPr>
      </w:pPr>
      <w:hyperlink r:id="rId17">
        <w:r w:rsidR="009E7117">
          <w:rPr>
            <w:rStyle w:val="Hyperlink"/>
            <w:rFonts w:ascii="Times New Roman" w:hAnsi="Times New Roman"/>
          </w:rPr>
          <w:t>A WP29 iránymutatása az átláthatóságról, WP260</w:t>
        </w:r>
      </w:hyperlink>
    </w:p>
    <w:p w:rsidR="0083202D" w:rsidRPr="00C25971" w:rsidRDefault="00E73752" w:rsidP="00AB41A1">
      <w:pPr>
        <w:pStyle w:val="ListParagraph"/>
        <w:numPr>
          <w:ilvl w:val="0"/>
          <w:numId w:val="2"/>
        </w:numPr>
        <w:ind w:left="357" w:hanging="357"/>
        <w:rPr>
          <w:rFonts w:ascii="Times New Roman" w:hAnsi="Times New Roman"/>
          <w:bCs/>
        </w:rPr>
      </w:pPr>
      <w:hyperlink r:id="rId18">
        <w:r w:rsidR="009E7117">
          <w:rPr>
            <w:rStyle w:val="Hyperlink"/>
            <w:rFonts w:ascii="Times New Roman" w:hAnsi="Times New Roman"/>
          </w:rPr>
          <w:t>Európa Tanács. CM/Rec(2010)13 sz. ajánlás a profilalkotással összefüggésben az egyéneknek a személyes adatok gépi feldolgozása során való védelméről</w:t>
        </w:r>
      </w:hyperlink>
      <w:r w:rsidR="009E7117">
        <w:rPr>
          <w:rFonts w:ascii="Times New Roman" w:hAnsi="Times New Roman"/>
        </w:rPr>
        <w:t>;</w:t>
      </w:r>
    </w:p>
    <w:p w:rsidR="0083202D" w:rsidRPr="00952F40" w:rsidRDefault="00E73752" w:rsidP="00AB41A1">
      <w:pPr>
        <w:pStyle w:val="ListParagraph"/>
        <w:numPr>
          <w:ilvl w:val="0"/>
          <w:numId w:val="2"/>
        </w:numPr>
        <w:ind w:left="357" w:hanging="357"/>
        <w:rPr>
          <w:rFonts w:ascii="Times New Roman" w:hAnsi="Times New Roman"/>
          <w:bCs/>
        </w:rPr>
      </w:pPr>
      <w:hyperlink r:id="rId19">
        <w:r w:rsidR="009E7117">
          <w:rPr>
            <w:rStyle w:val="Hyperlink"/>
            <w:rFonts w:ascii="Times New Roman" w:hAnsi="Times New Roman"/>
          </w:rPr>
          <w:t>Európa Tanács. Iránymutatás a természetes személyek védelméről a személyes adatoknak a nagy adathalmazok világában való kezelése tekintetében, 01/2017</w:t>
        </w:r>
      </w:hyperlink>
    </w:p>
    <w:p w:rsidR="0083202D" w:rsidRPr="0055176B" w:rsidRDefault="00E73752" w:rsidP="00AB41A1">
      <w:pPr>
        <w:pStyle w:val="ListParagraph"/>
        <w:numPr>
          <w:ilvl w:val="0"/>
          <w:numId w:val="2"/>
        </w:numPr>
        <w:ind w:left="357" w:hanging="357"/>
        <w:rPr>
          <w:rFonts w:ascii="Times New Roman" w:hAnsi="Times New Roman"/>
          <w:bCs/>
        </w:rPr>
      </w:pPr>
      <w:hyperlink r:id="rId20">
        <w:r w:rsidR="009E7117">
          <w:rPr>
            <w:rStyle w:val="Hyperlink"/>
            <w:rFonts w:ascii="Times New Roman" w:hAnsi="Times New Roman"/>
          </w:rPr>
          <w:t>Információs Biztos Hivatala – Nagy adathalmazok, mesterséges intelligencia, gépi tanulás és adatvédelem. 2.0-ás verzió, 03/2017.</w:t>
        </w:r>
      </w:hyperlink>
      <w:r w:rsidR="009E7117">
        <w:rPr>
          <w:rFonts w:ascii="Times New Roman" w:hAnsi="Times New Roman"/>
        </w:rPr>
        <w:t xml:space="preserve"> </w:t>
      </w:r>
    </w:p>
    <w:p w:rsidR="0083202D" w:rsidRPr="0055176B" w:rsidRDefault="00E73752" w:rsidP="00AB41A1">
      <w:pPr>
        <w:pStyle w:val="ListParagraph"/>
        <w:numPr>
          <w:ilvl w:val="0"/>
          <w:numId w:val="2"/>
        </w:numPr>
        <w:ind w:left="357" w:hanging="357"/>
        <w:rPr>
          <w:rFonts w:ascii="Times New Roman" w:hAnsi="Times New Roman"/>
          <w:bCs/>
        </w:rPr>
      </w:pPr>
      <w:hyperlink r:id="rId21">
        <w:r w:rsidR="009E7117">
          <w:rPr>
            <w:rStyle w:val="Hyperlink"/>
            <w:rFonts w:ascii="Times New Roman" w:hAnsi="Times New Roman"/>
          </w:rPr>
          <w:t xml:space="preserve">Office of the Australian Commissioner (Ausztrál Biztos Hivatala) - Konzultációs tervezet: Útmutató a nagy adatmennyiségekhez és az ausztrál adatvédelmi elvekhez (05/2016) </w:t>
        </w:r>
      </w:hyperlink>
    </w:p>
    <w:p w:rsidR="0083202D" w:rsidRPr="0055176B" w:rsidRDefault="00E73752" w:rsidP="00AB41A1">
      <w:pPr>
        <w:pStyle w:val="ListParagraph"/>
        <w:numPr>
          <w:ilvl w:val="0"/>
          <w:numId w:val="2"/>
        </w:numPr>
        <w:ind w:left="357" w:hanging="357"/>
        <w:rPr>
          <w:rFonts w:ascii="Times New Roman" w:hAnsi="Times New Roman"/>
          <w:bCs/>
        </w:rPr>
      </w:pPr>
      <w:hyperlink r:id="rId22">
        <w:r w:rsidR="009E7117">
          <w:rPr>
            <w:rStyle w:val="Hyperlink"/>
            <w:rFonts w:ascii="Times New Roman" w:hAnsi="Times New Roman"/>
          </w:rPr>
          <w:t>Az európai adatvédelmi biztos (EDPS) 7/2015. számú véleménye – A nagy adathalmazok kihívásainak kezelése, 2015. november 19.</w:t>
        </w:r>
      </w:hyperlink>
    </w:p>
    <w:p w:rsidR="0083202D" w:rsidRPr="00D6462D" w:rsidRDefault="00E73752" w:rsidP="00AB41A1">
      <w:pPr>
        <w:pStyle w:val="ListParagraph"/>
        <w:numPr>
          <w:ilvl w:val="0"/>
          <w:numId w:val="2"/>
        </w:numPr>
        <w:ind w:left="357" w:hanging="357"/>
        <w:rPr>
          <w:rFonts w:ascii="Times New Roman" w:hAnsi="Times New Roman"/>
          <w:bCs/>
        </w:rPr>
      </w:pPr>
      <w:hyperlink r:id="rId23">
        <w:r w:rsidR="009E7117">
          <w:rPr>
            <w:rStyle w:val="Hyperlink"/>
            <w:rFonts w:ascii="Times New Roman" w:hAnsi="Times New Roman"/>
          </w:rPr>
          <w:t>Datatilsynet – Nagy adathalmaz – Adatvédelmi elvek nyomás alatt, 09/2013</w:t>
        </w:r>
      </w:hyperlink>
    </w:p>
    <w:p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Európa Tanács. Egyezmény az egyének védelméről a személyes adatok gépi feldolgozása során</w:t>
      </w:r>
      <w:r>
        <w:t xml:space="preserve"> – </w:t>
      </w:r>
      <w:hyperlink r:id="rId24">
        <w:r>
          <w:rPr>
            <w:rStyle w:val="Hyperlink"/>
            <w:rFonts w:ascii="Times New Roman" w:hAnsi="Times New Roman"/>
          </w:rPr>
          <w:t>az Európa Tanács 108. egyezményének modernizált változatárhoz fűzött magyarázó jelentés tervezete</w:t>
        </w:r>
      </w:hyperlink>
      <w:r>
        <w:t xml:space="preserve">, </w:t>
      </w:r>
      <w:r>
        <w:rPr>
          <w:rFonts w:ascii="Times New Roman" w:hAnsi="Times New Roman"/>
        </w:rPr>
        <w:t>2016. augusztus</w:t>
      </w:r>
    </w:p>
    <w:p w:rsidR="0083202D" w:rsidRPr="00CE1B18" w:rsidRDefault="00E73752" w:rsidP="00AB41A1">
      <w:pPr>
        <w:pStyle w:val="ListParagraph"/>
        <w:numPr>
          <w:ilvl w:val="0"/>
          <w:numId w:val="2"/>
        </w:numPr>
        <w:spacing w:line="240" w:lineRule="auto"/>
        <w:ind w:left="357" w:hanging="357"/>
        <w:rPr>
          <w:rFonts w:ascii="Times New Roman" w:hAnsi="Times New Roman"/>
          <w:bCs/>
        </w:rPr>
      </w:pPr>
      <w:hyperlink r:id="rId25">
        <w:r w:rsidR="009E7117">
          <w:rPr>
            <w:rStyle w:val="Hyperlink"/>
            <w:rFonts w:ascii="Times New Roman" w:hAnsi="Times New Roman"/>
          </w:rPr>
          <w:t>Datatilsynet – A nagy adatverseny – Milyen kihívásokat jelent a személyes adatok kereskedelmi hasznosítása a magánélet védelme tekintetében? Jelentés, 2015. november.</w:t>
        </w:r>
      </w:hyperlink>
    </w:p>
    <w:p w:rsidR="004244E6" w:rsidRPr="004244E6" w:rsidRDefault="00E73752"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6">
        <w:r w:rsidR="009E7117">
          <w:rPr>
            <w:rStyle w:val="Hyperlink"/>
            <w:rFonts w:ascii="Times New Roman" w:hAnsi="Times New Roman"/>
          </w:rPr>
          <w:t>Európai adatvédelmi biztos – A személyes adatok védelmére való alapvető jogot korlátozó intézkedések szükségességének értékelése: Eszköztár</w:t>
        </w:r>
      </w:hyperlink>
    </w:p>
    <w:p w:rsidR="00146134" w:rsidRPr="00146134" w:rsidRDefault="004244E6" w:rsidP="00AB41A1">
      <w:pPr>
        <w:pStyle w:val="ListParagraph"/>
        <w:numPr>
          <w:ilvl w:val="0"/>
          <w:numId w:val="2"/>
        </w:numPr>
        <w:spacing w:after="0" w:line="240" w:lineRule="auto"/>
        <w:ind w:left="357" w:hanging="357"/>
        <w:rPr>
          <w:rFonts w:ascii="Times New Roman" w:hAnsi="Times New Roman"/>
          <w:bCs/>
        </w:rPr>
      </w:pPr>
      <w:r>
        <w:rPr>
          <w:rFonts w:ascii="Times New Roman" w:hAnsi="Times New Roman"/>
        </w:rPr>
        <w:t xml:space="preserve">Az európai felügyeleti hatóságok vegyes bizottsága. A vegyes bizottság vitadokumentuma a nagy adathalmazok pénzügyi intézmények általi felhasználásáról, 2016-86. </w:t>
      </w:r>
      <w:hyperlink r:id="rId27">
        <w:r>
          <w:rPr>
            <w:rStyle w:val="Hyperlink"/>
            <w:rFonts w:ascii="Times New Roman" w:hAnsi="Times New Roman"/>
          </w:rPr>
          <w:t xml:space="preserve">https://www.esma.europa.eu/sites/default/files/library/jc-2016-86_discussion_paper_big_data.pdf </w:t>
        </w:r>
      </w:hyperlink>
    </w:p>
    <w:p w:rsidR="00CA2D84" w:rsidRPr="00146134" w:rsidRDefault="009E7230" w:rsidP="00AB41A1">
      <w:pPr>
        <w:pStyle w:val="FootnoteText"/>
        <w:numPr>
          <w:ilvl w:val="0"/>
          <w:numId w:val="2"/>
        </w:numPr>
        <w:spacing w:after="0" w:line="240" w:lineRule="auto"/>
        <w:ind w:left="357" w:hanging="357"/>
        <w:rPr>
          <w:rFonts w:ascii="Times New Roman" w:hAnsi="Times New Roman"/>
        </w:rPr>
      </w:pPr>
      <w:r>
        <w:rPr>
          <w:rFonts w:ascii="Times New Roman" w:hAnsi="Times New Roman"/>
          <w:sz w:val="22"/>
        </w:rPr>
        <w:t>Commission de la protection de la vie privée. Big Data Rapport</w:t>
      </w:r>
      <w:r>
        <w:rPr>
          <w:rFonts w:ascii="Times New Roman" w:hAnsi="Times New Roman"/>
        </w:rPr>
        <w:t xml:space="preserve"> </w:t>
      </w:r>
      <w:hyperlink r:id="rId28">
        <w:r>
          <w:rPr>
            <w:rStyle w:val="Hyperlink"/>
            <w:rFonts w:ascii="Times New Roman" w:hAnsi="Times New Roman"/>
            <w:sz w:val="22"/>
          </w:rPr>
          <w:t>https://www.privacycommission.be/sites/privacycommission/files/documents/Big%20Data%20voor%20MindMap%2022-02-17%20fr.pdf</w:t>
        </w:r>
      </w:hyperlink>
      <w:r>
        <w:rPr>
          <w:rFonts w:ascii="Times New Roman" w:hAnsi="Times New Roman"/>
        </w:rPr>
        <w:t xml:space="preserve"> </w:t>
      </w:r>
    </w:p>
    <w:p w:rsidR="00146134" w:rsidRDefault="00146134"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Egyesült Államok Szenátusa, Kereskedelmi, Tudományos és Közlekedési Bizottság. Az adatközvetítői ipar felülvizsgálata: a fogyasztói adatok marketing céljából történő gyűjtése, felhasználása és értékesítése, Személyzeti jelentés Rockefeller elnök részére, 2013. december 18. </w:t>
      </w:r>
      <w:hyperlink r:id="rId29">
        <w:r>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25971" w:rsidRDefault="00C25971"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Lilian Edwards &amp; Michael Veale: Az algoritmus rabja? Miért van az, hogy a „magyarázathoz való jog” valószínűleg nem az a jogorvoslat, amelyet keres? Tudományos dolgozat, közzétéve: 2017. május 24. </w:t>
      </w:r>
      <w:hyperlink r:id="rId30">
        <w:r>
          <w:rPr>
            <w:rStyle w:val="Hyperlink"/>
            <w:rFonts w:ascii="Times New Roman" w:hAnsi="Times New Roman"/>
            <w:sz w:val="22"/>
          </w:rPr>
          <w:t>https://papers.ssrn.com/sol3/papers.cfm?abstract_id=2972855</w:t>
        </w:r>
      </w:hyperlink>
      <w:r w:rsidR="00573612">
        <w:rPr>
          <w:rFonts w:ascii="Times New Roman" w:hAnsi="Times New Roman"/>
          <w:sz w:val="22"/>
        </w:rPr>
        <w:t xml:space="preserve"> </w:t>
      </w:r>
    </w:p>
    <w:p w:rsidR="0083202D" w:rsidRPr="00D70806" w:rsidRDefault="00AB41A1" w:rsidP="00AB41A1">
      <w:pPr>
        <w:pStyle w:val="ListParagraph"/>
        <w:numPr>
          <w:ilvl w:val="0"/>
          <w:numId w:val="2"/>
        </w:numPr>
        <w:spacing w:line="240" w:lineRule="auto"/>
        <w:ind w:left="357" w:hanging="357"/>
        <w:rPr>
          <w:rFonts w:ascii="Times New Roman" w:hAnsi="Times New Roman"/>
        </w:rPr>
      </w:pPr>
      <w:r>
        <w:rPr>
          <w:rFonts w:ascii="Times New Roman" w:hAnsi="Times New Roman"/>
        </w:rPr>
        <w:t>NYTimes.com. A New York City Services mögött levő algoritmusok bemutatása.</w:t>
      </w:r>
      <w:r>
        <w:rPr>
          <w:rFonts w:ascii="Times New Roman" w:hAnsi="Times New Roman"/>
          <w:color w:val="1F497D"/>
        </w:rPr>
        <w:t xml:space="preserve"> </w:t>
      </w:r>
      <w:hyperlink r:id="rId31">
        <w:r>
          <w:rPr>
            <w:rStyle w:val="Hyperlink"/>
            <w:rFonts w:ascii="Times New Roman" w:hAnsi="Times New Roman"/>
          </w:rPr>
          <w:t>https://mobile.nytimes.com/2017/08/24/nyregion/showing-the-algorithms-behind-new-york-city-services.html?referer=https://t.co/6uUVVjOIXx?amp=1</w:t>
        </w:r>
      </w:hyperlink>
      <w:r>
        <w:rPr>
          <w:rFonts w:ascii="Times New Roman" w:hAnsi="Times New Roman"/>
          <w:color w:val="1F497D"/>
        </w:rPr>
        <w:t xml:space="preserve"> Hozzáférés dátuma: 2017. augusztus 24.</w:t>
      </w:r>
    </w:p>
    <w:p w:rsidR="00A57F78" w:rsidRP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Európa Tanács. A Miniszteri Bizottság CM/REC(2018)x számú ajánlása a tagállamok részére: Iránymutatás a gyermekek jogainak a digitális környezetben való előmozdításáról, megvédéséről és érvényesítéséről (átdolgozott tervezet, 2017. július 25.). </w:t>
      </w:r>
      <w:hyperlink r:id="rId32">
        <w:r>
          <w:rPr>
            <w:rStyle w:val="Hyperlink"/>
          </w:rPr>
          <w:t>https://www.coe.int/en/web/children/-/call-for-consultation-guidelines-for-member-states-to-promote-protect-and-fulfil-children-s-rights-in-the-digital-environment?inheritRedirect=true&amp;redirect=%2Fen%2Fweb%2Fchildren</w:t>
        </w:r>
      </w:hyperlink>
      <w:r>
        <w:t xml:space="preserve"> Hozzáférés dátuma: 2017. augusztus 31.</w:t>
      </w:r>
    </w:p>
    <w:p w:rsid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Unicef. Magánélet, a személyes adatok védelme és jó hírnévhez való jog védelme. Vitaanyag-sorozat: A gyermekek jogai és az üzleti élet a digitális világban. </w:t>
      </w:r>
      <w:hyperlink r:id="rId33">
        <w:r>
          <w:rPr>
            <w:rStyle w:val="Hyperlink"/>
            <w:rFonts w:ascii="Times New Roman" w:hAnsi="Times New Roman"/>
          </w:rPr>
          <w:t>https://www.unicef.org/csr/files/UNICEF_CRB_Digital_World_Series_PRIVACY.pdf</w:t>
        </w:r>
      </w:hyperlink>
      <w:r>
        <w:rPr>
          <w:rFonts w:ascii="Times New Roman" w:hAnsi="Times New Roman"/>
        </w:rPr>
        <w:t xml:space="preserve"> Hozzáférés dátuma: 2017. augusztus 31.</w:t>
      </w:r>
    </w:p>
    <w:p w:rsidR="00D70806" w:rsidRPr="00CD388E"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House of Lords (Lordok Háza) Felnőni az interneten. Kommunikációs Különbizottság, 2. jelentés a 2016-17. ülésszakon. </w:t>
      </w:r>
      <w:hyperlink r:id="rId34">
        <w:r>
          <w:rPr>
            <w:rStyle w:val="Hyperlink"/>
          </w:rPr>
          <w:t>https://publications.parliament.uk/pa/ld201617/ldselect/ldcomuni/130/13002.htm</w:t>
        </w:r>
      </w:hyperlink>
      <w:r>
        <w:t xml:space="preserve"> Hozzáférés dátuma: 2017. augusztus 31.</w:t>
      </w:r>
    </w:p>
    <w:p w:rsidR="00DB3E21" w:rsidRPr="008C61E9"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Sandra Wachter, Brent Mittelstadt és Luciano Floridi. Miért nem szerepel az általános adatvédelmi rendeletben az automatizált döntéshozatal megmagyarázásho</w:t>
      </w:r>
      <w:r w:rsidR="00573612">
        <w:rPr>
          <w:rFonts w:ascii="Times New Roman" w:hAnsi="Times New Roman"/>
        </w:rPr>
        <w:t xml:space="preserve">z való jog? 2016. december 28. </w:t>
      </w:r>
      <w:hyperlink r:id="rId35">
        <w:r>
          <w:rPr>
            <w:rStyle w:val="Hyperlink"/>
            <w:rFonts w:ascii="Times New Roman" w:hAnsi="Times New Roman"/>
            <w:sz w:val="24"/>
          </w:rPr>
          <w:t>https://www.turing.ac.uk/research_projects/data-ethics-group-deg/</w:t>
        </w:r>
      </w:hyperlink>
      <w:r>
        <w:rPr>
          <w:rFonts w:ascii="Times New Roman" w:hAnsi="Times New Roman"/>
          <w:sz w:val="24"/>
        </w:rPr>
        <w:t xml:space="preserve"> </w:t>
      </w:r>
      <w:r>
        <w:rPr>
          <w:rFonts w:ascii="Times New Roman" w:hAnsi="Times New Roman"/>
        </w:rPr>
        <w:t>Hozzáférés dátuma: 2017. december 13.</w:t>
      </w:r>
    </w:p>
    <w:p w:rsidR="00DB3E21" w:rsidRPr="00CD388E"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és Chris Russell. Kontrafaktuális magyarázatok az algoritmus feketedobozának felnyitása nélkül: az automatizált döntések és a GDPR, 2017. október 6. </w:t>
      </w:r>
      <w:hyperlink r:id="rId36">
        <w:r>
          <w:rPr>
            <w:rStyle w:val="Hyperlink"/>
            <w:rFonts w:ascii="haas-unica-reg" w:hAnsi="haas-unica-reg"/>
            <w:color w:val="3F3F3E"/>
          </w:rPr>
          <w:t>https://papers.ssrn.com/sol3/papers.cfm?abstract_id=3063289</w:t>
        </w:r>
      </w:hyperlink>
      <w:r>
        <w:rPr>
          <w:rFonts w:ascii="haas-unica-reg" w:hAnsi="haas-unica-reg"/>
          <w:color w:val="3F3F3E"/>
        </w:rPr>
        <w:t>. Hozzáférés dátuma: 2017. december 13.</w:t>
      </w:r>
    </w:p>
    <w:p w:rsidR="00DB3E21" w:rsidRPr="002D5F6F" w:rsidRDefault="00CD388E" w:rsidP="002D5F6F">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Ausztrál kormány. Jobb gyakorlatok útmutatója: automatizált segítség a közigazgatási döntéshozatalban. Hatlépcsős módszertan, valamint ellenőrzési lista pontjainak összefoglalása. 2007. február 7. </w:t>
      </w:r>
      <w:hyperlink r:id="rId37">
        <w:r>
          <w:rPr>
            <w:rStyle w:val="Hyperlink"/>
          </w:rPr>
          <w:t>https://www.oaic.gov.au/images/documents/migrated/migrated/betterpracticeguide.pdf</w:t>
        </w:r>
      </w:hyperlink>
      <w:r>
        <w:rPr>
          <w:rStyle w:val="Hyperlink"/>
        </w:rPr>
        <w:t xml:space="preserve"> Hozzáférés dátuma: 2018. január 9.</w:t>
      </w:r>
    </w:p>
    <w:sectPr w:rsidR="00DB3E21" w:rsidRPr="002D5F6F" w:rsidSect="00FF54DA">
      <w:headerReference w:type="even" r:id="rId38"/>
      <w:headerReference w:type="default" r:id="rId39"/>
      <w:footerReference w:type="even" r:id="rId40"/>
      <w:footerReference w:type="default" r:id="rId41"/>
      <w:headerReference w:type="first" r:id="rId42"/>
      <w:footerReference w:type="first" r:id="rId43"/>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360" w:rsidRDefault="00B65360" w:rsidP="00FB7EFC">
      <w:pPr>
        <w:spacing w:after="0" w:line="240" w:lineRule="auto"/>
      </w:pPr>
      <w:r>
        <w:separator/>
      </w:r>
    </w:p>
  </w:endnote>
  <w:endnote w:type="continuationSeparator" w:id="0">
    <w:p w:rsidR="00B65360" w:rsidRDefault="00B65360" w:rsidP="00FB7EFC">
      <w:pPr>
        <w:spacing w:after="0" w:line="240" w:lineRule="auto"/>
      </w:pPr>
      <w:r>
        <w:continuationSeparator/>
      </w:r>
    </w:p>
  </w:endnote>
  <w:endnote w:type="continuationNotice" w:id="1">
    <w:p w:rsidR="00B65360" w:rsidRDefault="00B653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E98" w:rsidRDefault="002F7E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E98" w:rsidRPr="00AF19DA" w:rsidRDefault="002F7E9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E73752">
      <w:rPr>
        <w:rFonts w:ascii="Times New Roman" w:hAnsi="Times New Roman"/>
        <w:noProof/>
        <w:sz w:val="22"/>
      </w:rPr>
      <w:t>2</w:t>
    </w:r>
    <w:r w:rsidRPr="00AF19DA">
      <w:rPr>
        <w:rFonts w:ascii="Times New Roman" w:hAnsi="Times New Roman"/>
        <w:noProof/>
        <w:sz w:val="22"/>
      </w:rPr>
      <w:fldChar w:fldCharType="end"/>
    </w:r>
  </w:p>
  <w:p w:rsidR="002F7E98" w:rsidRDefault="002F7E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E98" w:rsidRDefault="002F7E98" w:rsidP="004651F2">
    <w:pPr>
      <w:autoSpaceDE w:val="0"/>
      <w:autoSpaceDN w:val="0"/>
      <w:adjustRightInd w:val="0"/>
      <w:jc w:val="both"/>
      <w:rPr>
        <w:rFonts w:ascii="Arial" w:hAnsi="Arial" w:cs="Arial"/>
        <w:color w:val="000000"/>
        <w:sz w:val="16"/>
        <w:szCs w:val="16"/>
      </w:rPr>
    </w:pPr>
    <w:r>
      <w:rPr>
        <w:rFonts w:ascii="Arial" w:hAnsi="Arial"/>
        <w:color w:val="000000"/>
        <w:sz w:val="16"/>
      </w:rPr>
      <w:t>Ez a munkacsoport a 95/46/EK irányelv 29. cikke alapján jött létre. A munkacsoport adatvédelemmel, valamint a magánélet védelmével kapcsolatos kérdésekkel foglalkozó független európai tanácsadó szerv. A feladatait a 95/46/EK irányelv 30. cikke és a 2002/58/EK irányelv 15. cikke határozza meg.</w:t>
    </w:r>
  </w:p>
  <w:p w:rsidR="002F7E98" w:rsidRDefault="002F7E98" w:rsidP="004651F2">
    <w:pPr>
      <w:autoSpaceDE w:val="0"/>
      <w:autoSpaceDN w:val="0"/>
      <w:adjustRightInd w:val="0"/>
      <w:jc w:val="both"/>
      <w:rPr>
        <w:rFonts w:ascii="Arial" w:hAnsi="Arial" w:cs="Arial"/>
        <w:color w:val="000000"/>
        <w:sz w:val="16"/>
        <w:szCs w:val="16"/>
      </w:rPr>
    </w:pPr>
    <w:r>
      <w:rPr>
        <w:rFonts w:ascii="Arial" w:hAnsi="Arial"/>
        <w:color w:val="000000"/>
        <w:sz w:val="16"/>
      </w:rPr>
      <w:t>A titkársági feladatokat ellátja: Európai Bizottság, Jogérvényesülési Főigazgatóság, C. Igazgatóság (Alapvető jogok és uniós polgárság), B-1049 Brüsszel, Belgium, MO-59 02/013. sz. iroda.</w:t>
    </w:r>
  </w:p>
  <w:p w:rsidR="002F7E98" w:rsidRPr="004651F2" w:rsidRDefault="002F7E98" w:rsidP="004651F2">
    <w:pPr>
      <w:autoSpaceDE w:val="0"/>
      <w:autoSpaceDN w:val="0"/>
      <w:adjustRightInd w:val="0"/>
      <w:jc w:val="both"/>
    </w:pPr>
    <w:r>
      <w:rPr>
        <w:rFonts w:ascii="Arial" w:hAnsi="Arial"/>
        <w:color w:val="000000"/>
        <w:sz w:val="16"/>
      </w:rPr>
      <w:t xml:space="preserve">Weboldal: </w:t>
    </w:r>
    <w:hyperlink r:id="rId1">
      <w:r>
        <w:rPr>
          <w:rStyle w:val="Hyperlink"/>
          <w:rFonts w:ascii="Arial" w:hAnsi="Arial"/>
          <w:sz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360" w:rsidRDefault="00B65360" w:rsidP="00FB7EFC">
      <w:pPr>
        <w:spacing w:after="0" w:line="240" w:lineRule="auto"/>
      </w:pPr>
      <w:r>
        <w:separator/>
      </w:r>
    </w:p>
  </w:footnote>
  <w:footnote w:type="continuationSeparator" w:id="0">
    <w:p w:rsidR="00B65360" w:rsidRDefault="00B65360" w:rsidP="00FB7EFC">
      <w:pPr>
        <w:spacing w:after="0" w:line="240" w:lineRule="auto"/>
      </w:pPr>
      <w:r>
        <w:continuationSeparator/>
      </w:r>
    </w:p>
  </w:footnote>
  <w:footnote w:type="continuationNotice" w:id="1">
    <w:p w:rsidR="00B65360" w:rsidRDefault="00B65360">
      <w:pPr>
        <w:spacing w:after="0" w:line="240" w:lineRule="auto"/>
      </w:pPr>
    </w:p>
  </w:footnote>
  <w:footnote w:id="2">
    <w:p w:rsidR="002F7E98" w:rsidRDefault="002F7E98"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Az Európai Parlament és a Tanács (EU) 2016/679 rendelete (2016. április 27.) a természetes személyeknek a személyes adatok kezelése tekintetében történő védelméről és az ilyen adatok szabad áramlásáról, valamint a 95/46/EK irányelv hatályon kívül helyezéséről. A profilalkotást és az automatizált egyedi döntéshozatalt érinti a személyes adatoknak az illetékes hatóságok által a bűncselekmények megelőzése, nyomozása, felderítése, a vádeljárás lefolytatása vagy büntetőjogi szankciók végrehajtása céljából végzett kezelése tekintetében a természetes személyek védelméről és az ilyen adatok szabad áramlásáról szóló, 2016. április 27-i (EU) 2016/680 európai parlamenti és tanácsi irányelv is. Bár a jelen iránymutatás a GDPR szerinti profilalkotásra és automatizált egyedi döntéshozatalra összpontosít, e két téma szempontjából a 2016/680 irányelv vonatkozásában is releváns, tekintettel a hasonló rendelkezésekre. Ezen iránymutatás nem tartalmazza a profilalkotásra és az automatizált egyedi döntéshozatalra vonatkozóan a 2016/680 irányelvben meghatározott egyedi jellemzők elemzését, mivel e tekintetben a 29. cikk szerinti adatvédelmi munkacsoport 2017. november 29-én elfogadott WP258 véleménye („Vélemény a 2016/680/EU bűnügyi adatvédelmi irányelv egyes kulcsfontosságú kérdéseiről”) már tartalmaz útmutatást. A vélemény a 11-14. oldalon tárgyalja az automatizált egyedi döntéshozatalt és profilalkotást a bűnüldözési célú adatfeldolgozás összefüggéseiben, és az alábbi linken érhető el:</w:t>
      </w:r>
      <w:r>
        <w:t xml:space="preserve"> </w:t>
      </w:r>
      <w:hyperlink r:id="rId1">
        <w:r>
          <w:rPr>
            <w:rStyle w:val="Hyperlink"/>
            <w:rFonts w:ascii="Times New Roman" w:hAnsi="Times New Roman"/>
          </w:rPr>
          <w:t>http://ec.europa.eu/newsroom/article29/item-detail.cfm?item_id=610178</w:t>
        </w:r>
      </w:hyperlink>
    </w:p>
    <w:p w:rsidR="002F7E98" w:rsidRDefault="002F7E98" w:rsidP="00617EC0">
      <w:pPr>
        <w:pStyle w:val="FootnoteText"/>
        <w:spacing w:line="240" w:lineRule="auto"/>
        <w:jc w:val="both"/>
      </w:pPr>
    </w:p>
  </w:footnote>
  <w:footnote w:id="3">
    <w:p w:rsidR="002F7E98" w:rsidRPr="008D3A72" w:rsidRDefault="002F7E98"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 xml:space="preserve">Európa Tanács. A profilalkotással összefüggésben az egyéneknek a személyes adatok gépi feldolgozása során való védelméről. CM/Rec(2010)13 számú ajánlás és magyarázó megjegyzések. Európa Tanács, 2010. november 23. </w:t>
      </w:r>
      <w:hyperlink r:id="rId2">
        <w:r>
          <w:rPr>
            <w:rStyle w:val="Hyperlink"/>
            <w:rFonts w:ascii="Times New Roman" w:hAnsi="Times New Roman"/>
          </w:rPr>
          <w:t>https://www.coe.int/t/dghl/standardsetting/cdcj/CDCJ%20Recommendations/CMRec(2010)13E_Profiling.pdf</w:t>
        </w:r>
      </w:hyperlink>
      <w:r>
        <w:rPr>
          <w:rFonts w:ascii="Times New Roman" w:hAnsi="Times New Roman"/>
        </w:rPr>
        <w:t xml:space="preserve"> Hozzáférés dátuma: 2017. április 24.</w:t>
      </w:r>
    </w:p>
  </w:footnote>
  <w:footnote w:id="4">
    <w:p w:rsidR="002F7E98" w:rsidRDefault="002F7E98" w:rsidP="00617EC0">
      <w:pPr>
        <w:pStyle w:val="FootnoteText"/>
        <w:jc w:val="both"/>
      </w:pPr>
      <w:r>
        <w:rPr>
          <w:rStyle w:val="FootnoteReference"/>
        </w:rPr>
        <w:footnoteRef/>
      </w:r>
      <w:r>
        <w:t xml:space="preserve"> </w:t>
      </w:r>
      <w:r>
        <w:rPr>
          <w:rFonts w:ascii="Times New Roman" w:hAnsi="Times New Roman"/>
        </w:rPr>
        <w:t>A GDPR 22. cikkének (1) bekezdésében szereplő meghatározás szerint.</w:t>
      </w:r>
    </w:p>
  </w:footnote>
  <w:footnote w:id="5">
    <w:p w:rsidR="002F7E98" w:rsidRDefault="002F7E98" w:rsidP="0017163F">
      <w:pPr>
        <w:pStyle w:val="FootnoteText"/>
        <w:spacing w:line="240" w:lineRule="auto"/>
        <w:jc w:val="both"/>
      </w:pPr>
      <w:r>
        <w:rPr>
          <w:rStyle w:val="FootnoteReference"/>
        </w:rPr>
        <w:footnoteRef/>
      </w:r>
      <w:r>
        <w:t xml:space="preserve"> </w:t>
      </w:r>
      <w:r>
        <w:rPr>
          <w:rFonts w:ascii="Times New Roman" w:hAnsi="Times New Roman"/>
        </w:rPr>
        <w:t>A GDPR (72) preambulumbekezdése: „A profilalkotást ennek a rendeletnek a személyes adatok kezelésére vonatkozó rendelkezései szabályozzák, például az adatkezelés jogalapja és az adatkezelési elvek tekintetében.”</w:t>
      </w:r>
    </w:p>
  </w:footnote>
  <w:footnote w:id="6">
    <w:p w:rsidR="002F7E98" w:rsidRDefault="002F7E98" w:rsidP="000153CE">
      <w:pPr>
        <w:pStyle w:val="FootnoteText"/>
        <w:spacing w:line="240" w:lineRule="auto"/>
        <w:jc w:val="both"/>
      </w:pPr>
      <w:r>
        <w:rPr>
          <w:rStyle w:val="FootnoteReference"/>
        </w:rPr>
        <w:footnoteRef/>
      </w:r>
      <w:r>
        <w:t xml:space="preserve"> </w:t>
      </w:r>
      <w:r>
        <w:rPr>
          <w:rFonts w:ascii="Times New Roman" w:hAnsi="Times New Roman"/>
        </w:rPr>
        <w:t xml:space="preserve">A 29. cikk szerinti adatvédelmi munkacsoport átláthatóságról szóló iránymutatása részletesebben tárgyalja az átláthatóságot; lásd: „Iránymutatás az (EU) 2016/679 rendelet szerinti átláthatóságról (wp260rev.01)”, 2018. április 11. </w:t>
      </w:r>
      <w:hyperlink r:id="rId3">
        <w:r>
          <w:rPr>
            <w:rStyle w:val="Hyperlink"/>
            <w:rFonts w:ascii="Times New Roman" w:hAnsi="Times New Roman"/>
          </w:rPr>
          <w:t>http://ec.europa.eu/newsroom/article29/item-detail.cfm?item_id=622227</w:t>
        </w:r>
      </w:hyperlink>
    </w:p>
  </w:footnote>
  <w:footnote w:id="7">
    <w:p w:rsidR="002F7E98" w:rsidRPr="003B78C6" w:rsidRDefault="002F7E98" w:rsidP="00437F5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Ausztrál Információs Biztos Hivatala. Konzultációsanyag-tervezet: Az Útmutató a nagy adathalmazokhoz és az ausztrál adatvédelmi elvekhez (05/2016) szerint: „Az adatvédelmi tájékoztatóknak az adatkezelési gyakorlatokat világosan és egyszerűen kell bemutatniuk, emellett átfogónak és kellőképpen konkrétnak kell lenniük, hogy érthetőek legyenek. </w:t>
      </w:r>
      <w:r>
        <w:rPr>
          <w:rFonts w:ascii="Times New Roman" w:hAnsi="Times New Roman"/>
          <w:i/>
          <w:sz w:val="20"/>
        </w:rPr>
        <w:t>Az a technológia, amely a személyes adatok nagyobb mértékű gyűjtéséhez vezet, egyúttal magában hordozza a dinamikusabb, többrétegű és felhasználó-központú adatvédelmi tájékoztatók lehetőségét.”</w:t>
      </w:r>
      <w:r>
        <w:t xml:space="preserv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xml:space="preserve"> Hozzáférés dátuma: 2017. április 24.</w:t>
      </w:r>
    </w:p>
  </w:footnote>
  <w:footnote w:id="8">
    <w:p w:rsidR="002F7E98" w:rsidRPr="002F7E98" w:rsidRDefault="002F7E98" w:rsidP="0017163F">
      <w:pPr>
        <w:pStyle w:val="FootnoteText"/>
        <w:spacing w:line="240" w:lineRule="auto"/>
        <w:rPr>
          <w:rFonts w:ascii="Times New Roman" w:hAnsi="Times New Roman"/>
          <w:bCs/>
          <w:lang w:bidi="en-US"/>
        </w:rPr>
      </w:pPr>
      <w:r>
        <w:rPr>
          <w:rStyle w:val="FootnoteReference"/>
          <w:rFonts w:ascii="Times New Roman" w:hAnsi="Times New Roman"/>
        </w:rPr>
        <w:footnoteRef/>
      </w:r>
      <w:r>
        <w:rPr>
          <w:rFonts w:ascii="Times New Roman" w:hAnsi="Times New Roman"/>
        </w:rPr>
        <w:t xml:space="preserve"> A példa forrása: Egyesült Államok Szenátusa, Kereskedelmi, Tudományos és Közlekedési Bizottság. Az adatközvetítői ipar felülvizsgálata: a fogyasztói adatok marketing céljából történő gyűjtése, felhasználása és értékesítése, Személyzeti jelentés Rockefeller elnök részére, 2013. december 18. </w:t>
      </w:r>
      <w:hyperlink r:id="rId5">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Lásd a Vezetői összefoglaló ii. oldalát és különösen a dokumentum törzsszövegének 12. oldalát. Hozzáférés dátuma: 2017. július 21.</w:t>
      </w:r>
    </w:p>
  </w:footnote>
  <w:footnote w:id="9">
    <w:p w:rsidR="002F7E98" w:rsidRDefault="002F7E98"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Megjegyezzük, hogy a leendő elektronikus hírközlési adatvédelmi rendelet rendelkezései is alkalmazhatók lehetnek.</w:t>
      </w:r>
    </w:p>
  </w:footnote>
  <w:footnote w:id="10">
    <w:p w:rsidR="002F7E98" w:rsidRPr="0045277C" w:rsidRDefault="002F7E98"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Amint ezt a 29. cikk szerinti adatvédelmi munkacsoportnak a célhoz kötöttségről szóló, 2013. április 2-i 03/2013. sz. véleménye kiemeli. </w:t>
      </w:r>
      <w:hyperlink r:id="rId6">
        <w:r>
          <w:rPr>
            <w:rStyle w:val="Hyperlink"/>
            <w:rFonts w:ascii="Times New Roman" w:hAnsi="Times New Roman"/>
          </w:rPr>
          <w:t>http://ec.europa.eu/justice/data-protection/article-29/documentation/opinion-recommendation/files/2013/wp203_en.pdf</w:t>
        </w:r>
      </w:hyperlink>
      <w:r>
        <w:rPr>
          <w:rFonts w:ascii="Times New Roman" w:hAnsi="Times New Roman"/>
        </w:rPr>
        <w:t xml:space="preserve"> Hozzáférés dátuma: 2017. április 24.</w:t>
      </w:r>
    </w:p>
  </w:footnote>
  <w:footnote w:id="11">
    <w:p w:rsidR="002F7E98" w:rsidRDefault="002F7E98" w:rsidP="0017163F">
      <w:pPr>
        <w:pStyle w:val="FootnoteText"/>
        <w:jc w:val="both"/>
      </w:pPr>
      <w:r>
        <w:rPr>
          <w:rStyle w:val="FootnoteReference"/>
        </w:rPr>
        <w:footnoteRef/>
      </w:r>
      <w:r>
        <w:t xml:space="preserve"> </w:t>
      </w:r>
      <w:r>
        <w:rPr>
          <w:rFonts w:ascii="Times New Roman" w:hAnsi="Times New Roman"/>
        </w:rPr>
        <w:t>A GDPR 6. cikkének (4) bekezdése.</w:t>
      </w:r>
    </w:p>
  </w:footnote>
  <w:footnote w:id="12">
    <w:p w:rsidR="002F7E98" w:rsidRPr="00513F25" w:rsidRDefault="002F7E98" w:rsidP="00873DFF">
      <w:pPr>
        <w:pStyle w:val="FootnoteText"/>
        <w:spacing w:line="240" w:lineRule="auto"/>
        <w:rPr>
          <w:rFonts w:ascii="Times New Roman" w:hAnsi="Times New Roman"/>
          <w:lang w:val="da-DK"/>
        </w:rPr>
      </w:pPr>
      <w:r>
        <w:rPr>
          <w:rStyle w:val="FootnoteReference"/>
          <w:rFonts w:ascii="Times New Roman" w:hAnsi="Times New Roman"/>
        </w:rPr>
        <w:footnoteRef/>
      </w:r>
      <w:r>
        <w:rPr>
          <w:rFonts w:ascii="Times New Roman" w:hAnsi="Times New Roman"/>
        </w:rPr>
        <w:t xml:space="preserve"> Norvég Adatvédelmi Hatóság. A nagy adatverseny – Milyen kihívásokat jelent a személyes adatok kereskedelmi hasznosítása a magánélet védelme tekintetében? – Jelentés, 2015. november. Datatilsynet </w:t>
      </w:r>
      <w:hyperlink r:id="rId7">
        <w:r>
          <w:rPr>
            <w:rFonts w:ascii="Times New Roman" w:hAnsi="Times New Roman"/>
          </w:rPr>
          <w:t>https://www.datatilsynet.no/English/Publications/The-Great-Data-Race/</w:t>
        </w:r>
      </w:hyperlink>
      <w:r>
        <w:rPr>
          <w:rFonts w:ascii="Times New Roman" w:hAnsi="Times New Roman"/>
        </w:rPr>
        <w:t xml:space="preserve"> Hozzáférés dátuma: 2017. április 24.</w:t>
      </w:r>
    </w:p>
  </w:footnote>
  <w:footnote w:id="13">
    <w:p w:rsidR="002F7E98" w:rsidRPr="00E73752" w:rsidRDefault="002F7E98" w:rsidP="00873DFF">
      <w:pPr>
        <w:pStyle w:val="FootnoteText"/>
        <w:spacing w:line="240" w:lineRule="auto"/>
      </w:pPr>
      <w:r>
        <w:rPr>
          <w:rStyle w:val="FootnoteReference"/>
        </w:rPr>
        <w:footnoteRef/>
      </w:r>
      <w:r>
        <w:t xml:space="preserve"> </w:t>
      </w:r>
      <w:r>
        <w:rPr>
          <w:rFonts w:ascii="Times New Roman" w:hAnsi="Times New Roman"/>
        </w:rPr>
        <w:t>A 29. cikk szerinti adatvédelmi munkacsoport iránymutatása az (EU) 2016/679 rendelet szerinti hozzájárulásról, WP259, 2017. november 28.,</w:t>
      </w:r>
      <w:hyperlink r:id="rId8">
        <w:r>
          <w:rPr>
            <w:rStyle w:val="Hyperlink"/>
            <w:rFonts w:ascii="Times New Roman" w:hAnsi="Times New Roman"/>
          </w:rPr>
          <w:t>http://ec.europa.eu/newsroom/just/document.cfm?doc_id=48849</w:t>
        </w:r>
      </w:hyperlink>
      <w:r>
        <w:rPr>
          <w:rFonts w:ascii="Times New Roman" w:hAnsi="Times New Roman"/>
        </w:rPr>
        <w:t>. Hozzáférés dátuma: 2017. december 18.</w:t>
      </w:r>
    </w:p>
  </w:footnote>
  <w:footnote w:id="14">
    <w:p w:rsidR="002F7E98" w:rsidRDefault="002F7E98">
      <w:pPr>
        <w:pStyle w:val="FootnoteText"/>
      </w:pPr>
      <w:r>
        <w:rPr>
          <w:rStyle w:val="FootnoteReference"/>
        </w:rPr>
        <w:footnoteRef/>
      </w:r>
      <w:r>
        <w:t xml:space="preserve"> </w:t>
      </w:r>
      <w:r>
        <w:rPr>
          <w:rFonts w:ascii="Times New Roman" w:hAnsi="Times New Roman"/>
        </w:rPr>
        <w:t>Ugyanott.</w:t>
      </w:r>
    </w:p>
  </w:footnote>
  <w:footnote w:id="15">
    <w:p w:rsidR="002F7E98" w:rsidRDefault="002F7E98" w:rsidP="00873DFF">
      <w:pPr>
        <w:pStyle w:val="FootnoteText"/>
        <w:spacing w:line="240" w:lineRule="auto"/>
      </w:pPr>
      <w:r>
        <w:rPr>
          <w:rStyle w:val="FootnoteReference"/>
        </w:rPr>
        <w:footnoteRef/>
      </w:r>
      <w:r>
        <w:t xml:space="preserve"> </w:t>
      </w:r>
      <w:r>
        <w:rPr>
          <w:rFonts w:ascii="Times New Roman" w:hAnsi="Times New Roman"/>
        </w:rPr>
        <w:t>6/2014. számú vélemény az adatkezelő 95/46/EK irányelv 7. cikke szerinti jogszerű érdekeinek fogalmáról. Euró</w:t>
      </w:r>
      <w:r w:rsidR="002D5F6F">
        <w:rPr>
          <w:rFonts w:ascii="Times New Roman" w:hAnsi="Times New Roman"/>
        </w:rPr>
        <w:t>pai Bizottság, 2014. április 9.</w:t>
      </w:r>
      <w:r>
        <w:rPr>
          <w:rFonts w:ascii="Times New Roman" w:hAnsi="Times New Roman"/>
        </w:rPr>
        <w:t xml:space="preserve"> </w:t>
      </w:r>
      <w:hyperlink r:id="rId9">
        <w:r>
          <w:rPr>
            <w:rStyle w:val="Hyperlink"/>
            <w:rFonts w:ascii="Times New Roman" w:hAnsi="Times New Roman"/>
          </w:rPr>
          <w:t>http://ec.europa.eu/justice/data-protection/article-29/documentation/opinion-recommendation/files/2014/wp217_en.pdf</w:t>
        </w:r>
      </w:hyperlink>
      <w:r>
        <w:rPr>
          <w:rFonts w:ascii="Times New Roman" w:hAnsi="Times New Roman"/>
        </w:rPr>
        <w:t xml:space="preserve"> Hozzáférés dátuma: 2017. április 24.</w:t>
      </w:r>
    </w:p>
  </w:footnote>
  <w:footnote w:id="16">
    <w:p w:rsidR="002F7E98" w:rsidRDefault="002F7E98" w:rsidP="00213DE8">
      <w:pPr>
        <w:pStyle w:val="FootnoteText"/>
        <w:spacing w:after="0"/>
      </w:pPr>
      <w:r>
        <w:rPr>
          <w:rStyle w:val="FootnoteReference"/>
        </w:rPr>
        <w:footnoteRef/>
      </w:r>
      <w:r>
        <w:t xml:space="preserve"> A </w:t>
      </w:r>
      <w:r>
        <w:rPr>
          <w:rFonts w:ascii="Times New Roman" w:hAnsi="Times New Roman"/>
        </w:rPr>
        <w:t>GDPR (41) és (45) preambulumbekezdése.</w:t>
      </w:r>
    </w:p>
  </w:footnote>
  <w:footnote w:id="17">
    <w:p w:rsidR="002F7E98" w:rsidRDefault="002F7E98" w:rsidP="00873DFF">
      <w:pPr>
        <w:pStyle w:val="FootnoteText"/>
        <w:spacing w:line="240" w:lineRule="auto"/>
      </w:pPr>
      <w:r>
        <w:rPr>
          <w:rStyle w:val="FootnoteReference"/>
        </w:rPr>
        <w:footnoteRef/>
      </w:r>
      <w:r>
        <w:t xml:space="preserve"> </w:t>
      </w:r>
      <w:r>
        <w:rPr>
          <w:rFonts w:ascii="Times New Roman" w:hAnsi="Times New Roman"/>
        </w:rPr>
        <w:t>A 29. cikk szerinti munkacsoport 6/2014. sz. véleménye az adatkezelő jogos érdekének a 95/46/EK irányelv 7. cikke szerinti fogalmáról, 19. oldal. Európ</w:t>
      </w:r>
      <w:r w:rsidR="00573612">
        <w:rPr>
          <w:rFonts w:ascii="Times New Roman" w:hAnsi="Times New Roman"/>
        </w:rPr>
        <w:t xml:space="preserve">ai Bizottság, 2014. április 9. </w:t>
      </w:r>
      <w:hyperlink r:id="rId10">
        <w:r>
          <w:rPr>
            <w:rStyle w:val="Hyperlink"/>
            <w:rFonts w:ascii="Times New Roman" w:hAnsi="Times New Roman"/>
          </w:rPr>
          <w:t>http://ec.europa.eu/justice/data-protection/article-29/documentation/opinion-recommendation/files/2014/wp217_en.pdf</w:t>
        </w:r>
      </w:hyperlink>
      <w:r>
        <w:rPr>
          <w:rFonts w:ascii="Times New Roman" w:hAnsi="Times New Roman"/>
        </w:rPr>
        <w:t xml:space="preserve"> Hozzáférés dátuma: 2017. április 24.</w:t>
      </w:r>
    </w:p>
  </w:footnote>
  <w:footnote w:id="18">
    <w:p w:rsidR="002F7E98" w:rsidRPr="00877B9C" w:rsidRDefault="002F7E98"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A GDPR (46) preambulumbekezdése.</w:t>
      </w:r>
    </w:p>
  </w:footnote>
  <w:footnote w:id="19">
    <w:p w:rsidR="002F7E98" w:rsidRPr="00520FD5" w:rsidRDefault="002F7E98"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A GDPR (47) preambulumbekezdésében felsorolt jogos érdekek magukban foglalják a közvetlen üzletszerzési célú adatkezelést és a csalások megelőzése céljából feltétlenül szükséges adatkezelést.</w:t>
      </w:r>
    </w:p>
  </w:footnote>
  <w:footnote w:id="20">
    <w:p w:rsidR="002F7E98" w:rsidRPr="004C74A9" w:rsidRDefault="002F7E98"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Az adatkezelő „jogos érdeke” nem teszi a profilalkotást jogszerűvé, ha az adatkezelés a 22. cikk (1) bekezdésében sze</w:t>
      </w:r>
      <w:r w:rsidR="002D5F6F">
        <w:rPr>
          <w:rFonts w:ascii="Times New Roman" w:hAnsi="Times New Roman"/>
          <w:sz w:val="20"/>
        </w:rPr>
        <w:t>replő meghatározás körébe esik.</w:t>
      </w:r>
    </w:p>
  </w:footnote>
  <w:footnote w:id="21">
    <w:p w:rsidR="002F7E98" w:rsidRDefault="002F7E98" w:rsidP="004E4F22">
      <w:pPr>
        <w:pStyle w:val="FootnoteText"/>
        <w:spacing w:line="240" w:lineRule="auto"/>
      </w:pPr>
      <w:r>
        <w:rPr>
          <w:rStyle w:val="FootnoteReference"/>
        </w:rPr>
        <w:footnoteRef/>
      </w:r>
      <w:r>
        <w:t xml:space="preserve"> </w:t>
      </w:r>
      <w:r>
        <w:rPr>
          <w:rFonts w:ascii="Times New Roman" w:hAnsi="Times New Roman"/>
        </w:rPr>
        <w:t>A 29. cikk szerinti adatvédelmi munkacsoport 6/2014. számú véleménye az adatkezelő 95/46/EK irányelv 7. cikke szerinti jogszerű érdekeinek fogalmáról. Európai Bizottság, 2014. április 9., 47. oldal. Példák az 59. és 60. oldalon</w:t>
      </w:r>
      <w:r>
        <w:t xml:space="preserve"> </w:t>
      </w:r>
      <w:hyperlink r:id="rId11">
        <w:r>
          <w:rPr>
            <w:rStyle w:val="Hyperlink"/>
            <w:rFonts w:ascii="Times New Roman" w:hAnsi="Times New Roman"/>
          </w:rPr>
          <w:t>http://ec.europa.EU/Justice/Data-Protection/article-29/documentation/Opinion-Recommendation/Files/2014/wp217_en.pdf</w:t>
        </w:r>
      </w:hyperlink>
      <w:r>
        <w:rPr>
          <w:rFonts w:ascii="Times New Roman" w:hAnsi="Times New Roman"/>
        </w:rPr>
        <w:t xml:space="preserve"> Hozzáférés dátuma: 2017. április 24.</w:t>
      </w:r>
    </w:p>
  </w:footnote>
  <w:footnote w:id="22">
    <w:p w:rsidR="002F7E98" w:rsidRPr="003B78C6" w:rsidRDefault="002F7E98" w:rsidP="007E6696">
      <w:pPr>
        <w:shd w:val="clear" w:color="auto" w:fill="FFFFFF"/>
        <w:spacing w:after="0" w:line="240" w:lineRule="auto"/>
        <w:rPr>
          <w:rFonts w:ascii="Arial" w:hAnsi="Arial" w:cs="Arial"/>
          <w:b/>
          <w:bCs/>
          <w:color w:val="403838"/>
          <w:sz w:val="21"/>
          <w:szCs w:val="21"/>
          <w:lang w:eastAsia="en-GB"/>
        </w:rPr>
      </w:pPr>
      <w:r>
        <w:rPr>
          <w:rStyle w:val="FootnoteReference"/>
          <w:rFonts w:ascii="Times New Roman" w:hAnsi="Times New Roman"/>
        </w:rPr>
        <w:footnoteRef/>
      </w:r>
      <w:r>
        <w:rPr>
          <w:rFonts w:ascii="Times New Roman" w:hAnsi="Times New Roman"/>
        </w:rPr>
        <w:t xml:space="preserve"> </w:t>
      </w:r>
    </w:p>
    <w:p w:rsidR="002F7E98" w:rsidRPr="004F1F21" w:rsidRDefault="002F7E98" w:rsidP="007E6696">
      <w:pPr>
        <w:pStyle w:val="FootnoteText"/>
        <w:spacing w:line="240" w:lineRule="auto"/>
        <w:rPr>
          <w:rFonts w:ascii="Times New Roman" w:hAnsi="Times New Roman"/>
        </w:rPr>
      </w:pPr>
      <w:r>
        <w:rPr>
          <w:rFonts w:ascii="Times New Roman" w:hAnsi="Times New Roman"/>
        </w:rPr>
        <w:t xml:space="preserve">Michael Kosinski, David Stilwell és Thore Graepel: A személyes vonások és jellemzők előrejelezhetők az emberi viselkedésre vonatkozó digitális adatokból. A National Academy of Sciences of the United States of America eljárásai, </w:t>
      </w:r>
      <w:hyperlink r:id="rId12">
        <w:r>
          <w:rPr>
            <w:rStyle w:val="Hyperlink"/>
            <w:rFonts w:ascii="Times New Roman" w:hAnsi="Times New Roman"/>
          </w:rPr>
          <w:t>http://www.pnas.org/content/110/15/5802.full.pdf</w:t>
        </w:r>
      </w:hyperlink>
      <w:r>
        <w:rPr>
          <w:rFonts w:ascii="Times New Roman" w:hAnsi="Times New Roman"/>
        </w:rPr>
        <w:t xml:space="preserve"> Hozzáférés dátuma: 2017. március 29. </w:t>
      </w:r>
    </w:p>
  </w:footnote>
  <w:footnote w:id="23">
    <w:p w:rsidR="002F7E98" w:rsidRDefault="002F7E98" w:rsidP="00B83992">
      <w:pPr>
        <w:pStyle w:val="FootnoteText"/>
        <w:spacing w:line="240" w:lineRule="auto"/>
      </w:pPr>
      <w:r>
        <w:rPr>
          <w:rStyle w:val="FootnoteReference"/>
        </w:rPr>
        <w:footnoteRef/>
      </w:r>
      <w:r>
        <w:t xml:space="preserve"> </w:t>
      </w:r>
      <w:r>
        <w:rPr>
          <w:rFonts w:ascii="Times New Roman" w:hAnsi="Times New Roman"/>
        </w:rPr>
        <w:t>Ez a szakasz mind a profilalkotásra, mind az automatizált döntéshozatalra vonatkozik. A 22. cikk alá tartozó automatizált döntéshozatal tekintetében figyelembe kell venni, hogy a IV. fejezet további követelményeket is tartalmaz.</w:t>
      </w:r>
    </w:p>
  </w:footnote>
  <w:footnote w:id="24">
    <w:p w:rsidR="002F7E98" w:rsidRDefault="002F7E98" w:rsidP="00D85688">
      <w:pPr>
        <w:pStyle w:val="FootnoteText"/>
        <w:spacing w:line="240" w:lineRule="auto"/>
      </w:pPr>
      <w:r>
        <w:rPr>
          <w:rStyle w:val="FootnoteReference"/>
        </w:rPr>
        <w:footnoteRef/>
      </w:r>
      <w:r>
        <w:t xml:space="preserve"> </w:t>
      </w:r>
      <w:r>
        <w:rPr>
          <w:rFonts w:ascii="Times New Roman" w:hAnsi="Times New Roman"/>
        </w:rPr>
        <w:t xml:space="preserve">Norvég Adatvédelmi Hatóság. A nagy adatverseny – Milyen kihívásokat jelent a személyes adatok kereskedelmi hasznosítása a magánélet védelme tekintetében? – Jelentés, 2015. november. </w:t>
      </w:r>
      <w:hyperlink r:id="rId13">
        <w:r>
          <w:rPr>
            <w:rStyle w:val="Hyperlink"/>
            <w:rFonts w:ascii="Times New Roman" w:hAnsi="Times New Roman"/>
          </w:rPr>
          <w:t>https://www.datatilsynet.no/English/Publications/The-Great-Data-Race/</w:t>
        </w:r>
      </w:hyperlink>
      <w:r>
        <w:rPr>
          <w:rFonts w:ascii="Times New Roman" w:hAnsi="Times New Roman"/>
        </w:rPr>
        <w:t xml:space="preserve"> Hozzáférés dátuma: 2017. április 24.</w:t>
      </w:r>
    </w:p>
  </w:footnote>
  <w:footnote w:id="25">
    <w:p w:rsidR="002F7E98" w:rsidRPr="00817186" w:rsidRDefault="002F7E98" w:rsidP="00D85688">
      <w:pPr>
        <w:pStyle w:val="FootnoteText"/>
        <w:spacing w:line="240" w:lineRule="auto"/>
      </w:pPr>
      <w:r>
        <w:rPr>
          <w:rStyle w:val="FootnoteReference"/>
        </w:rPr>
        <w:footnoteRef/>
      </w:r>
      <w:r>
        <w:t xml:space="preserve"> </w:t>
      </w:r>
      <w:r>
        <w:rPr>
          <w:rFonts w:ascii="Times New Roman" w:hAnsi="Times New Roman"/>
        </w:rPr>
        <w:t>A GDPR 13. cikke (1) bekezdésének c) pontja és 14. cikke (1) bekezdésének c) pontja. A 13. cikk (2) bekezdésének f) pontja és a 14. cikk (2) bekezdésének g) pontja megköveteli, hogy az adatkezelő tájékoztassa az érintettet a 22. cikk (1) és (4) bekezdésében leírt automatizált döntéshozatal tényéről, ideértve a profilalkotást is.</w:t>
      </w:r>
      <w:r>
        <w:t xml:space="preserve"> </w:t>
      </w:r>
      <w:r>
        <w:rPr>
          <w:rFonts w:ascii="Times New Roman" w:hAnsi="Times New Roman"/>
        </w:rPr>
        <w:t>Ezt a IV. fejezet tovább részletezi.</w:t>
      </w:r>
    </w:p>
  </w:footnote>
  <w:footnote w:id="26">
    <w:p w:rsidR="002F7E98" w:rsidRPr="002F7E98" w:rsidRDefault="002F7E98" w:rsidP="00FE0BAE">
      <w:pPr>
        <w:pStyle w:val="FootnoteText"/>
        <w:spacing w:line="240" w:lineRule="auto"/>
        <w:rPr>
          <w:lang w:val="pt-PT"/>
        </w:rPr>
      </w:pPr>
      <w:r>
        <w:rPr>
          <w:rStyle w:val="FootnoteReference"/>
        </w:rPr>
        <w:footnoteRef/>
      </w:r>
      <w:r>
        <w:t xml:space="preserve"> </w:t>
      </w:r>
      <w:r>
        <w:rPr>
          <w:rFonts w:ascii="Times New Roman" w:hAnsi="Times New Roman"/>
        </w:rPr>
        <w:t xml:space="preserve">A29. cikk szerinti adatvédelmi munkacsoport iránymutatása a 2016/679 rendelet szerinti átláthatóságról, WP260, 2017. november 28. </w:t>
      </w:r>
      <w:hyperlink r:id="rId14">
        <w:r>
          <w:rPr>
            <w:rStyle w:val="Hyperlink"/>
            <w:rFonts w:ascii="Times New Roman" w:hAnsi="Times New Roman"/>
          </w:rPr>
          <w:t>http://ec.europa.eu/newsroom/just/document.cfm?doc_id=48850</w:t>
        </w:r>
      </w:hyperlink>
      <w:r>
        <w:rPr>
          <w:rFonts w:ascii="Times New Roman" w:hAnsi="Times New Roman"/>
        </w:rPr>
        <w:t xml:space="preserve"> Hozzáférés dátuma: 2017.</w:t>
      </w:r>
      <w:r>
        <w:rPr>
          <w:rFonts w:ascii="Times New Roman" w:hAnsi="Times New Roman"/>
          <w:b/>
        </w:rPr>
        <w:t> </w:t>
      </w:r>
      <w:r>
        <w:rPr>
          <w:rFonts w:ascii="Times New Roman" w:hAnsi="Times New Roman"/>
        </w:rPr>
        <w:t>december 18.</w:t>
      </w:r>
    </w:p>
  </w:footnote>
  <w:footnote w:id="27">
    <w:p w:rsidR="002F7E98" w:rsidRPr="002F7E98" w:rsidRDefault="002F7E98" w:rsidP="003261D9">
      <w:pPr>
        <w:pStyle w:val="FootnoteText"/>
        <w:rPr>
          <w:lang w:val="pt-PT"/>
        </w:rPr>
      </w:pPr>
      <w:r>
        <w:rPr>
          <w:rStyle w:val="FootnoteReference"/>
        </w:rPr>
        <w:footnoteRef/>
      </w:r>
      <w:r>
        <w:rPr>
          <w:rFonts w:ascii="Times New Roman" w:hAnsi="Times New Roman"/>
        </w:rPr>
        <w:t xml:space="preserve">A WP29 iránymutatása az adathordozhatósághoz való jogról, WP242, 9. oldal </w:t>
      </w:r>
      <w:hyperlink r:id="rId15">
        <w:r>
          <w:rPr>
            <w:rStyle w:val="Hyperlink"/>
            <w:rFonts w:ascii="Times New Roman" w:hAnsi="Times New Roman"/>
          </w:rPr>
          <w:t>http://ec.europa.eu/newsroom/document.cfm?doc_id=45685</w:t>
        </w:r>
      </w:hyperlink>
      <w:r>
        <w:rPr>
          <w:rFonts w:ascii="Times New Roman" w:hAnsi="Times New Roman"/>
        </w:rPr>
        <w:t xml:space="preserve"> Hozzáférés dátuma: 2018. január 8.</w:t>
      </w:r>
    </w:p>
  </w:footnote>
  <w:footnote w:id="28">
    <w:p w:rsidR="002F7E98" w:rsidRPr="002F7E98" w:rsidRDefault="002F7E98" w:rsidP="00826506">
      <w:pPr>
        <w:pStyle w:val="FootnoteText"/>
        <w:rPr>
          <w:rFonts w:ascii="Times New Roman" w:hAnsi="Times New Roman"/>
          <w:lang w:val="pt-PT"/>
        </w:rPr>
      </w:pPr>
      <w:r>
        <w:rPr>
          <w:rStyle w:val="FootnoteReference"/>
        </w:rPr>
        <w:footnoteRef/>
      </w:r>
      <w:r>
        <w:t xml:space="preserve"> </w:t>
      </w:r>
      <w:r>
        <w:rPr>
          <w:rFonts w:ascii="Times New Roman" w:hAnsi="Times New Roman"/>
        </w:rPr>
        <w:t>A GDPR 17. cikke.</w:t>
      </w:r>
    </w:p>
  </w:footnote>
  <w:footnote w:id="29">
    <w:p w:rsidR="002F7E98" w:rsidRPr="002F7E98" w:rsidRDefault="002F7E98">
      <w:pPr>
        <w:pStyle w:val="FootnoteText"/>
        <w:rPr>
          <w:lang w:val="pt-PT"/>
        </w:rPr>
      </w:pPr>
      <w:r>
        <w:rPr>
          <w:rStyle w:val="FootnoteReference"/>
        </w:rPr>
        <w:footnoteRef/>
      </w:r>
      <w:r>
        <w:t xml:space="preserve"> </w:t>
      </w:r>
      <w:r>
        <w:rPr>
          <w:rFonts w:ascii="Times New Roman" w:hAnsi="Times New Roman"/>
        </w:rPr>
        <w:t>A GDPR 18. cikke (1) bekezdésének d) pontja.</w:t>
      </w:r>
    </w:p>
  </w:footnote>
  <w:footnote w:id="30">
    <w:p w:rsidR="002F7E98" w:rsidRPr="002F7E98" w:rsidRDefault="002F7E98" w:rsidP="00826506">
      <w:pPr>
        <w:pStyle w:val="FootnoteText"/>
        <w:rPr>
          <w:rFonts w:ascii="Times New Roman" w:hAnsi="Times New Roman"/>
          <w:lang w:val="pt-PT"/>
        </w:rPr>
      </w:pPr>
      <w:r>
        <w:rPr>
          <w:rStyle w:val="FootnoteReference"/>
        </w:rPr>
        <w:footnoteRef/>
      </w:r>
      <w:r>
        <w:t xml:space="preserve"> </w:t>
      </w:r>
      <w:r>
        <w:rPr>
          <w:rFonts w:ascii="Times New Roman" w:hAnsi="Times New Roman"/>
        </w:rPr>
        <w:t>A GDPR 17. cikke (1) bekezdésének c) pontja.</w:t>
      </w:r>
    </w:p>
  </w:footnote>
  <w:footnote w:id="31">
    <w:p w:rsidR="002F7E98" w:rsidRDefault="002F7E98" w:rsidP="00500987">
      <w:pPr>
        <w:pStyle w:val="FootnoteText"/>
        <w:spacing w:line="240" w:lineRule="auto"/>
      </w:pPr>
      <w:r>
        <w:rPr>
          <w:rStyle w:val="FootnoteReference"/>
        </w:rPr>
        <w:footnoteRef/>
      </w:r>
      <w:r>
        <w:t xml:space="preserve"> </w:t>
      </w:r>
      <w:r>
        <w:rPr>
          <w:rFonts w:ascii="Times New Roman" w:hAnsi="Times New Roman"/>
        </w:rPr>
        <w:t xml:space="preserve">Lásd a jogszerűség magyarázatát: a 29. cikk szerinti adatvédelmi munkacsoport 6/2014. számú véleménye az adatkezelő 95/46/EK irányelv 7. cikke szerinti jogszerű érdekeinek fogalmáról. 2014. április 9. 24-26. oldal </w:t>
      </w:r>
      <w:hyperlink r:id="rId16">
        <w:r>
          <w:rPr>
            <w:rStyle w:val="Hyperlink"/>
            <w:rFonts w:ascii="Times New Roman" w:hAnsi="Times New Roman"/>
          </w:rPr>
          <w:t>http://ec.europa.eu/justice/data-protection/article-29/documentation/opinion-recommendation/files/2014/wp217_en.pdf</w:t>
        </w:r>
      </w:hyperlink>
      <w:r w:rsidR="000A6B2D">
        <w:rPr>
          <w:rStyle w:val="Hyperlink"/>
          <w:rFonts w:ascii="Times New Roman" w:hAnsi="Times New Roman"/>
        </w:rPr>
        <w:t>.</w:t>
      </w:r>
      <w:r>
        <w:rPr>
          <w:rFonts w:ascii="Times New Roman" w:hAnsi="Times New Roman"/>
        </w:rPr>
        <w:t xml:space="preserve"> Hozzáférés dátuma: 2017. április 24.</w:t>
      </w:r>
    </w:p>
  </w:footnote>
  <w:footnote w:id="32">
    <w:p w:rsidR="002F7E98" w:rsidRDefault="002F7E98" w:rsidP="005B7746">
      <w:pPr>
        <w:pStyle w:val="FootnoteText"/>
        <w:spacing w:line="240" w:lineRule="auto"/>
      </w:pPr>
      <w:r>
        <w:rPr>
          <w:rStyle w:val="FootnoteReference"/>
        </w:rPr>
        <w:footnoteRef/>
      </w:r>
      <w:r>
        <w:t xml:space="preserve"> </w:t>
      </w:r>
      <w:r>
        <w:rPr>
          <w:rFonts w:ascii="Times New Roman" w:hAnsi="Times New Roman"/>
        </w:rPr>
        <w:t>Összhangban a 12. cikk (2) bekezdésével, az adatkezelőknek, akik természetes személyekről közvetlen üzletszerzés céljából gyűjtenek személyes adatokat, a gyűjtés idején meg kellene fontolniuk, hogy az érintetteknek egyszerű módot biztosítsanak annak jelzésére, hogy nem kívánják a személyes adataik közvetlen üzletszerzés célra való felhasználását, ahelyett, hogy egy későbbi időpontban legyen szükséges gyakorolniuk a tiltakozáshoz való jogukat.</w:t>
      </w:r>
    </w:p>
  </w:footnote>
  <w:footnote w:id="33">
    <w:p w:rsidR="002F7E98" w:rsidRDefault="002F7E98"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A (71) preambulumbekezdés szerint az ilyen adatkezelés mindazonáltal „csakis megfelelő garanciák mellett végezhető, amelybe beletartozik az érintett külön tájékoztatása és az ahhoz való joga, hogy emberi beavatkozást kérjen és kapjon, különösen, hogy kifejtse álláspontját, hogy magyarázatot kapjon az ilyen értékelés alapján hozott döntésről és hogy megtámadja a döntést.”</w:t>
      </w:r>
    </w:p>
  </w:footnote>
  <w:footnote w:id="34">
    <w:p w:rsidR="002F7E98" w:rsidRPr="000631D9" w:rsidRDefault="002F7E9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22. cikk tilalomként való értelmezésével kapcsolatos további megjegyzések a 2. mellékletben található.</w:t>
      </w:r>
    </w:p>
  </w:footnote>
  <w:footnote w:id="35">
    <w:p w:rsidR="002F7E98" w:rsidRDefault="002F7E98" w:rsidP="000631D9">
      <w:pPr>
        <w:pStyle w:val="FootnoteText"/>
        <w:spacing w:line="240" w:lineRule="auto"/>
      </w:pPr>
      <w:r>
        <w:rPr>
          <w:rStyle w:val="FootnoteReference"/>
        </w:rPr>
        <w:footnoteRef/>
      </w:r>
      <w:r>
        <w:t xml:space="preserve"> </w:t>
      </w:r>
      <w:r>
        <w:rPr>
          <w:rFonts w:ascii="Times New Roman" w:hAnsi="Times New Roman"/>
        </w:rPr>
        <w:t xml:space="preserve">A 29. cikk szerinti adatvédelmi munkacsoport iránymutatása az adatvédelmi hatásvizsgálat elvégzéséhez és annak megállapításához, hogy az adatkezelés az (EU) 2016/679 rendelet alkalmazásában „valószínűsíthetően magas kockázattal jár-e”, 2017. április 4., Európai Bizottság. </w:t>
      </w:r>
      <w:hyperlink r:id="rId17">
        <w:r>
          <w:rPr>
            <w:rStyle w:val="Hyperlink"/>
            <w:rFonts w:ascii="Times New Roman" w:hAnsi="Times New Roman"/>
          </w:rPr>
          <w:t>http://ec.europa.eu/newsroom/document.cfm?doc_id=44137</w:t>
        </w:r>
      </w:hyperlink>
      <w:r>
        <w:rPr>
          <w:rFonts w:ascii="Times New Roman" w:hAnsi="Times New Roman"/>
        </w:rPr>
        <w:t xml:space="preserve"> Hozzáférés dátuma: 2017. április 24.</w:t>
      </w:r>
    </w:p>
  </w:footnote>
  <w:footnote w:id="36">
    <w:p w:rsidR="002F7E98" w:rsidRPr="00FB6B6B" w:rsidRDefault="002F7E98"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Buttarelli, Giovanni: A személyes adatok védelmére való alapvető jogot korlátozó intézkedések szükségességének értékelése. Az európai adatvédelmi biztos eszköztára. 2017. április 11.</w:t>
      </w:r>
      <w:r>
        <w:t xml:space="preserve"> </w:t>
      </w:r>
      <w:hyperlink r:id="rId18">
        <w:r>
          <w:rPr>
            <w:rStyle w:val="Hyperlink"/>
            <w:rFonts w:ascii="Times New Roman" w:hAnsi="Times New Roman"/>
          </w:rPr>
          <w:t>https://edps.europa.EU/Sites/EDP/Files/Publication/17-04-11_necessity_toolkit_en_0.pdf</w:t>
        </w:r>
      </w:hyperlink>
      <w:r>
        <w:t xml:space="preserve"> </w:t>
      </w:r>
      <w:r>
        <w:rPr>
          <w:rFonts w:ascii="Times New Roman" w:hAnsi="Times New Roman"/>
        </w:rPr>
        <w:t>Hozzáférés dátuma: 2017. április 24.</w:t>
      </w:r>
    </w:p>
  </w:footnote>
  <w:footnote w:id="37">
    <w:p w:rsidR="002F7E98" w:rsidRPr="002372E9" w:rsidRDefault="002F7E98"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29. cikk szerinti adatvédelmi munkacsoport iránymutatása 2016/679 rendelet szerinti hozzájárulásról, WP259, 2017. november 28. </w:t>
      </w:r>
      <w:hyperlink r:id="rId19">
        <w:r>
          <w:rPr>
            <w:rStyle w:val="Hyperlink"/>
            <w:rFonts w:ascii="Times New Roman" w:hAnsi="Times New Roman"/>
          </w:rPr>
          <w:t>http://ec.europa.eu/newsroom/just/document.cfm?doc_id=48849</w:t>
        </w:r>
      </w:hyperlink>
      <w:r>
        <w:rPr>
          <w:rFonts w:ascii="Times New Roman" w:hAnsi="Times New Roman"/>
        </w:rPr>
        <w:t xml:space="preserve"> Hozzáférés dátuma: 2017. december 18.</w:t>
      </w:r>
    </w:p>
  </w:footnote>
  <w:footnote w:id="38">
    <w:p w:rsidR="002F7E98" w:rsidRDefault="002F7E98" w:rsidP="00AF3592">
      <w:pPr>
        <w:pStyle w:val="FootnoteText"/>
      </w:pPr>
      <w:r>
        <w:rPr>
          <w:rStyle w:val="FootnoteReference"/>
        </w:rPr>
        <w:footnoteRef/>
      </w:r>
      <w:r>
        <w:t xml:space="preserve"> </w:t>
      </w:r>
      <w:r>
        <w:rPr>
          <w:rFonts w:ascii="Times New Roman" w:hAnsi="Times New Roman"/>
        </w:rPr>
        <w:t>A GDPR 12. cikke határozza meg az érintettek jogainak gyakorlására vonatkozó intézkedéseket.</w:t>
      </w:r>
    </w:p>
  </w:footnote>
  <w:footnote w:id="39">
    <w:p w:rsidR="002F7E98" w:rsidRDefault="002F7E98" w:rsidP="00AF3592">
      <w:pPr>
        <w:pStyle w:val="FootnoteText"/>
        <w:spacing w:line="240" w:lineRule="auto"/>
      </w:pPr>
      <w:r>
        <w:rPr>
          <w:rStyle w:val="FootnoteReference"/>
          <w:rFonts w:eastAsiaTheme="majorEastAsia"/>
        </w:rPr>
        <w:footnoteRef/>
      </w:r>
      <w:r>
        <w:t xml:space="preserve"> </w:t>
      </w:r>
      <w:r>
        <w:rPr>
          <w:rFonts w:ascii="Times New Roman" w:hAnsi="Times New Roman"/>
        </w:rPr>
        <w:t>Ezt a 22. cikk (1) és (4) bekezdése említi. A WP átláthatósággal kapcsolatos iránymutatása foglalkozik a 13. és 14. cikkekben írt általános tájékoztatási követelményekkel.</w:t>
      </w:r>
    </w:p>
  </w:footnote>
  <w:footnote w:id="40">
    <w:p w:rsidR="002F7E98" w:rsidRPr="008F3B83" w:rsidRDefault="002F7E98"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AGDPR (60) preambulumbekezdése: „Az adatkezelő olyan további információt is az érintett rendelkezésére bocsát, amelyek a tisztességes és átlátható adatkezelés biztosításához szükségesek, figyelembe véve a személyes adatok kezelésének konkrét körülményeit és kontextusát. Az érintettet továbbá a profilalkotás tényéről és annak következményeiről tájékoztatni kell.”</w:t>
      </w:r>
    </w:p>
  </w:footnote>
  <w:footnote w:id="41">
    <w:p w:rsidR="002F7E98" w:rsidRPr="008F3B83" w:rsidRDefault="002F7E98" w:rsidP="00AF3592">
      <w:pPr>
        <w:spacing w:line="240" w:lineRule="auto"/>
        <w:rPr>
          <w:rFonts w:ascii="Times New Roman" w:hAnsi="Times New Roman"/>
        </w:rPr>
      </w:pPr>
      <w:r>
        <w:rPr>
          <w:rStyle w:val="FootnoteReference"/>
        </w:rPr>
        <w:footnoteRef/>
      </w:r>
      <w:r>
        <w:rPr>
          <w:rFonts w:ascii="Times New Roman" w:hAnsi="Times New Roman"/>
          <w:sz w:val="20"/>
        </w:rPr>
        <w:t>A komplexitás nem mentség arra, hogy miért nem adnak tájékoztatást az érintettnek. Az (58) preambulumbekezdés szerint az átláthatóság elve „különösen olyan helyzetekben lehet fontos, amikor a szereplők nagy száma és a gyakorlat technológiai összetettsége megnehezíti az érintett számára annak megismerését és megértését, hogy gyűjtenek-e róla személyes adatokat, és ha igen, ki és milyen célból, ilyen például az online reklámozás esete”.</w:t>
      </w:r>
    </w:p>
  </w:footnote>
  <w:footnote w:id="42">
    <w:p w:rsidR="002F7E98" w:rsidRPr="00680044" w:rsidRDefault="002F7E98" w:rsidP="00AF3592">
      <w:pPr>
        <w:autoSpaceDE w:val="0"/>
        <w:autoSpaceDN w:val="0"/>
        <w:adjustRightInd w:val="0"/>
        <w:spacing w:after="0" w:line="240" w:lineRule="auto"/>
        <w:rPr>
          <w:rFonts w:ascii="Times New Roman" w:eastAsia="Calibri" w:hAnsi="Times New Roman"/>
          <w:sz w:val="20"/>
          <w:szCs w:val="20"/>
          <w:lang w:eastAsia="fr-FR" w:bidi="ar-SA"/>
        </w:rPr>
      </w:pPr>
      <w:r>
        <w:rPr>
          <w:rStyle w:val="FootnoteReference"/>
          <w:rFonts w:ascii="Times New Roman" w:hAnsi="Times New Roman"/>
          <w:sz w:val="20"/>
        </w:rPr>
        <w:footnoteRef/>
      </w:r>
      <w:r>
        <w:rPr>
          <w:rFonts w:ascii="Times New Roman" w:hAnsi="Times New Roman"/>
          <w:sz w:val="20"/>
        </w:rPr>
        <w:t xml:space="preserve"> Európa Tanács: Magyarázó jelentéstervezet az Európa Tanács 108. számú egyezményének korszerűsített változatához, 75. bekezdés:</w:t>
      </w:r>
      <w:r>
        <w:rPr>
          <w:rFonts w:ascii="Times New Roman" w:hAnsi="Times New Roman"/>
          <w:i/>
          <w:sz w:val="20"/>
        </w:rPr>
        <w:t xml:space="preserve"> </w:t>
      </w:r>
      <w:r>
        <w:rPr>
          <w:rFonts w:ascii="Times New Roman" w:hAnsi="Times New Roman"/>
          <w:sz w:val="20"/>
        </w:rPr>
        <w:t>„Az érintettek számára biztosítani kell a jogot, hogy megismerjék az adataik kezelésének alapjául szolgáló indokot, beleértve az ilyen indokkal járó következményeket is, amennyiben ezek bármilyen következtetéshez vezettek, különösen azokban az esetekben, ahol algoritmusokat használnak az automatizált döntéshozatalhoz, ideértve a profilalkotást is.</w:t>
      </w:r>
      <w:r>
        <w:rPr>
          <w:rFonts w:ascii="Times New Roman" w:hAnsi="Times New Roman"/>
        </w:rPr>
        <w:t xml:space="preserve"> </w:t>
      </w:r>
      <w:r>
        <w:rPr>
          <w:rFonts w:ascii="Times New Roman" w:hAnsi="Times New Roman"/>
          <w:sz w:val="20"/>
        </w:rPr>
        <w:t xml:space="preserve">Például a hitelképességi pontozás esetében biztosítani kell számukra a jogot, hogy megismerjék az adataik kezelésének alapjául szolgáló, és „igen” vagy „nem” döntést eredményező logikát, és nem egyszerűen csak a döntésről kell őket tájékoztatni. Ezeknek az elemeknek a megértése nélkül nem lehet más alapvető garanciákat gyakorolni, például a tiltakozáshoz való jogot és az illetékes hatósághoz való panaszbenyújtás jogát.” </w:t>
      </w:r>
      <w:hyperlink r:id="rId20">
        <w:r>
          <w:rPr>
            <w:rStyle w:val="Hyperlink"/>
            <w:rFonts w:ascii="Times New Roman" w:hAnsi="Times New Roman"/>
            <w:sz w:val="20"/>
          </w:rPr>
          <w:t>https://rm.coe.int/CoERMPublicCommonSearchServices/DisplayDCTMContent?documentId=09000016806b6ec2</w:t>
        </w:r>
      </w:hyperlink>
      <w:r>
        <w:rPr>
          <w:rFonts w:ascii="Times New Roman" w:hAnsi="Times New Roman"/>
          <w:sz w:val="20"/>
        </w:rPr>
        <w:t xml:space="preserve"> Hozzáférés dátuma: 2017. április 24.</w:t>
      </w:r>
    </w:p>
  </w:footnote>
  <w:footnote w:id="43">
    <w:p w:rsidR="002F7E98" w:rsidRDefault="002F7E98" w:rsidP="00AF3592">
      <w:pPr>
        <w:pStyle w:val="FootnoteText"/>
      </w:pPr>
      <w:r>
        <w:rPr>
          <w:rStyle w:val="FootnoteReference"/>
        </w:rPr>
        <w:footnoteRef/>
      </w:r>
      <w:r>
        <w:t xml:space="preserve"> </w:t>
      </w:r>
      <w:r>
        <w:rPr>
          <w:rFonts w:ascii="Times New Roman" w:hAnsi="Times New Roman"/>
        </w:rPr>
        <w:t>A GDPR 12. cikkének (3) bekezdése pontosítja az ilyen tájékoztatás időkeretét.</w:t>
      </w:r>
    </w:p>
  </w:footnote>
  <w:footnote w:id="44">
    <w:p w:rsidR="002F7E98" w:rsidRPr="004B432D" w:rsidRDefault="002F7E98"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A GDPR (71) preambulumb</w:t>
      </w:r>
      <w:r w:rsidR="000A6B2D">
        <w:rPr>
          <w:rFonts w:ascii="Times New Roman" w:hAnsi="Times New Roman"/>
          <w:sz w:val="20"/>
        </w:rPr>
        <w:t>ekezdése szerint: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2F7E98">
        <w:tc>
          <w:tcPr>
            <w:tcW w:w="9288" w:type="dxa"/>
          </w:tcPr>
          <w:p w:rsidR="002F7E98" w:rsidRPr="004B432D" w:rsidRDefault="002F7E98" w:rsidP="004B432D">
            <w:pPr>
              <w:spacing w:after="0" w:line="240" w:lineRule="auto"/>
              <w:rPr>
                <w:rFonts w:ascii="Times New Roman" w:hAnsi="Times New Roman"/>
                <w:sz w:val="20"/>
                <w:szCs w:val="20"/>
              </w:rPr>
            </w:pPr>
            <w:r>
              <w:rPr>
                <w:rFonts w:ascii="Times New Roman" w:hAnsi="Times New Roman"/>
                <w:sz w:val="20"/>
              </w:rPr>
              <w:t>„Az érintett szempontjából tekintve tisztességes és átlátható adatkezelés biztosítása érdekében – az adatkezelés konkrét körülményeinek figyelembevételével – az adatkezelő a profilalkotáshoz megfelelő matematikai és statisztikai eljárásokat alkalmaz, olyan technikai és szervezési intézkedéseket vezet be, amelyek biztosítják különösen az adatok pontatlanságát előidéző tényezők korrekcióját és a hibalehetőségek minimálisra csökkentését, (...)”</w:t>
            </w:r>
          </w:p>
        </w:tc>
      </w:tr>
    </w:tbl>
    <w:p w:rsidR="002F7E98" w:rsidRDefault="002F7E98" w:rsidP="00F35E5E">
      <w:pPr>
        <w:pStyle w:val="FootnoteText"/>
        <w:spacing w:after="0"/>
      </w:pPr>
    </w:p>
  </w:footnote>
  <w:footnote w:id="45">
    <w:p w:rsidR="002F7E98" w:rsidRPr="00453396" w:rsidRDefault="002F7E98"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(71) preambulumbekezdés: „Az ilyen intézkedés gyermekre nem vonatkozhat”.</w:t>
      </w:r>
    </w:p>
  </w:footnote>
  <w:footnote w:id="46">
    <w:p w:rsidR="002F7E98" w:rsidRPr="002F7E98" w:rsidRDefault="002F7E98" w:rsidP="000631D9">
      <w:pPr>
        <w:pStyle w:val="FootnoteText"/>
        <w:spacing w:line="240" w:lineRule="auto"/>
      </w:pPr>
      <w:r>
        <w:rPr>
          <w:rStyle w:val="FootnoteReference"/>
        </w:rPr>
        <w:footnoteRef/>
      </w:r>
      <w:r>
        <w:t xml:space="preserve"> </w:t>
      </w:r>
      <w:r>
        <w:rPr>
          <w:rFonts w:ascii="Times New Roman" w:hAnsi="Times New Roman"/>
        </w:rPr>
        <w:t>A WP29 2/2013. számú, 2013. február 27-én elfogadott, az okos eszközökre telepített alkalmazásokról szóló véleményének (WP202) kifejezetten a gyermekekről szóló 3.10. fejezete a 26. oldalon rögzíti, hogy „az adatkezelők sem közvetlenül, sem közvetve nem kezelhetik gyermekek adatait viselkedésalapú reklámozás céljából, mivel az a gyermek megértésén kívül esik, és ezért meghaladja a jogszerű adatkezelés határait”.</w:t>
      </w:r>
    </w:p>
  </w:footnote>
  <w:footnote w:id="47">
    <w:p w:rsidR="002F7E98" w:rsidRDefault="002F7E98" w:rsidP="00B056AE">
      <w:pPr>
        <w:spacing w:after="0" w:line="240" w:lineRule="auto"/>
      </w:pPr>
      <w:r>
        <w:rPr>
          <w:rStyle w:val="FootnoteReference"/>
          <w:rFonts w:eastAsiaTheme="majorEastAsia"/>
        </w:rPr>
        <w:footnoteRef/>
      </w:r>
      <w:r>
        <w:t xml:space="preserve"> </w:t>
      </w:r>
      <w:hyperlink r:id="rId21">
        <w:r>
          <w:rPr>
            <w:rStyle w:val="Hyperlink"/>
            <w:rFonts w:ascii="Times New Roman" w:hAnsi="Times New Roman"/>
            <w:sz w:val="20"/>
          </w:rPr>
          <w:t>A marketing által a közösségi médián, online játékokon és mobil alkalmazásokon keresztül a gyermekek viselkedésére gyakorolt hatásról</w:t>
        </w:r>
      </w:hyperlink>
      <w:r>
        <w:rPr>
          <w:rFonts w:ascii="Times New Roman" w:hAnsi="Times New Roman"/>
          <w:sz w:val="20"/>
        </w:rPr>
        <w:t xml:space="preserve"> szóló uniós tanulmány megállapította, hogy a marketinggyakorlatoknak egyértelmű hatásai vannak a gyermekek viselkedésére. Ez a tanulmány 6 és 12 év közötti gyermekeken alapult.</w:t>
      </w:r>
    </w:p>
  </w:footnote>
  <w:footnote w:id="48">
    <w:p w:rsidR="002F7E98" w:rsidRPr="0060552C" w:rsidRDefault="002F7E98"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A gyermekeket célzó marketinggel foglalkozó magatartási kódexre példa a FEDMA Magatartási kódex és indokolás, ami elérhető itt: </w:t>
      </w:r>
      <w:hyperlink r:id="rId22">
        <w:r>
          <w:rPr>
            <w:rStyle w:val="Hyperlink"/>
            <w:rFonts w:ascii="Times New Roman" w:hAnsi="Times New Roman"/>
          </w:rPr>
          <w:t>http://www.oecd.org/sti/ieconomy/2091875.pdf</w:t>
        </w:r>
      </w:hyperlink>
      <w:r w:rsidR="00573612">
        <w:rPr>
          <w:rStyle w:val="Hyperlink"/>
          <w:rFonts w:ascii="Times New Roman" w:hAnsi="Times New Roman"/>
        </w:rPr>
        <w:t xml:space="preserve"> </w:t>
      </w:r>
      <w:r>
        <w:rPr>
          <w:rFonts w:ascii="Times New Roman" w:hAnsi="Times New Roman"/>
        </w:rPr>
        <w:t xml:space="preserve">Hozzáférés dátuma: 2017. május 15. Lásd különösen: „6.2. A gyermekeket célba vevő vagy azon forgalmazók, akik célközönségének valószínűleg a részét képezik gyermekek, nem használhatják ki a gyermekek hiszékenységét, hűségét, lojalitását, </w:t>
      </w:r>
      <w:r>
        <w:rPr>
          <w:rFonts w:ascii="Times New Roman" w:hAnsi="Times New Roman"/>
          <w:u w:val="single"/>
        </w:rPr>
        <w:t>sérülékenységét</w:t>
      </w:r>
      <w:r>
        <w:rPr>
          <w:rFonts w:ascii="Times New Roman" w:hAnsi="Times New Roman"/>
        </w:rPr>
        <w:t xml:space="preserve"> vagy tapasztalatlanságát; 6.8.5. A forgalmazók egy weboldal gyermekek általi elérését nem tehetik függővé részletes személyes adatok gyűjtésétől. Különösen nem alkalmazhatók olyan különleges ösztönzők, mint például díjak és játékok, hogy rávegyék a gyermekeket részlete</w:t>
      </w:r>
      <w:r w:rsidR="000A6B2D">
        <w:rPr>
          <w:rFonts w:ascii="Times New Roman" w:hAnsi="Times New Roman"/>
        </w:rPr>
        <w:t>s személyes adatok megadására.”</w:t>
      </w:r>
    </w:p>
  </w:footnote>
  <w:footnote w:id="49">
    <w:p w:rsidR="002F7E98" w:rsidRPr="0060552C" w:rsidRDefault="002F7E98"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Amint ezt a GDPR 5. cikkének (2) bekezdése előírja.</w:t>
      </w:r>
      <w:r>
        <w:rPr>
          <w:rFonts w:ascii="Times New Roman" w:hAnsi="Times New Roman"/>
          <w:sz w:val="18"/>
        </w:rPr>
        <w:t xml:space="preserve"> </w:t>
      </w:r>
    </w:p>
  </w:footnote>
  <w:footnote w:id="50">
    <w:p w:rsidR="002F7E98" w:rsidRPr="0060552C" w:rsidRDefault="002F7E98"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w:t>
      </w:r>
      <w:r w:rsidR="000A6B2D">
        <w:rPr>
          <w:rFonts w:ascii="Times New Roman" w:hAnsi="Times New Roman"/>
        </w:rPr>
        <w:t>A</w:t>
      </w:r>
      <w:r>
        <w:rPr>
          <w:rFonts w:ascii="Times New Roman" w:hAnsi="Times New Roman"/>
        </w:rPr>
        <w:t xml:space="preserve"> 13. cikk (2) bekezdésének f) pontjában, a 14. cikk (2) bekezdésének g) pontjában, valamint a 22. cikk (3) bekezdésében előírt követelmények tükrözése;</w:t>
      </w:r>
    </w:p>
  </w:footnote>
  <w:footnote w:id="51">
    <w:p w:rsidR="002F7E98" w:rsidRPr="00DB13AD" w:rsidRDefault="002F7E98"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29. cikk szerinti adatvédelmi munkacsoport iránymutatása az adatvédelmi hatásvizsgálat elvégzéséhez és annak megállapításához, hogy az adatkezelés az (EU) 2016/679 rendelet alkalmazásában „valószínűsíthetően magas kockázattal jár-e”, 2017. április 4. </w:t>
      </w:r>
      <w:hyperlink r:id="rId23">
        <w:r>
          <w:rPr>
            <w:rStyle w:val="Hyperlink"/>
            <w:rFonts w:ascii="Times New Roman" w:hAnsi="Times New Roman"/>
          </w:rPr>
          <w:t>http://ec.europa.eu/newsroom/document.cfm?doc_id=44137</w:t>
        </w:r>
      </w:hyperlink>
      <w:r>
        <w:rPr>
          <w:rFonts w:ascii="Times New Roman" w:hAnsi="Times New Roman"/>
        </w:rPr>
        <w:t xml:space="preserve"> Hozzáférés dátuma: 2017. április 24.</w:t>
      </w:r>
    </w:p>
  </w:footnote>
  <w:footnote w:id="52">
    <w:p w:rsidR="002F7E98" w:rsidRDefault="002F7E98">
      <w:pPr>
        <w:pStyle w:val="FootnoteText"/>
      </w:pPr>
      <w:r>
        <w:rPr>
          <w:rStyle w:val="FootnoteReference"/>
        </w:rPr>
        <w:footnoteRef/>
      </w:r>
      <w:r>
        <w:t xml:space="preserve"> </w:t>
      </w:r>
      <w:r>
        <w:rPr>
          <w:rFonts w:ascii="Times New Roman" w:hAnsi="Times New Roman"/>
        </w:rPr>
        <w:t xml:space="preserve">29. cikk szerinti adatvédelmi munkacsoport iránymutatása az adatvédelmi tisztviselőről (DPO), 2017. április 5.; </w:t>
      </w:r>
      <w:hyperlink r:id="rId24">
        <w:r>
          <w:rPr>
            <w:rStyle w:val="Hyperlink"/>
            <w:rFonts w:ascii="Times New Roman" w:hAnsi="Times New Roman"/>
          </w:rPr>
          <w:t>http://ec.europa.eu/newsroom/article29/item-detail.cfm?item_id=612048</w:t>
        </w:r>
      </w:hyperlink>
      <w:r>
        <w:rPr>
          <w:rFonts w:ascii="Times New Roman" w:hAnsi="Times New Roman"/>
        </w:rPr>
        <w:t xml:space="preserve"> Hozzáférés dátuma: 2018. január 22.</w:t>
      </w:r>
    </w:p>
  </w:footnote>
  <w:footnote w:id="53">
    <w:p w:rsidR="002F7E98" w:rsidRPr="00DE6E88" w:rsidRDefault="002F7E98"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rPr>
        <w:t>Az adatkezelőknek azt is biztosítaniuk kell, hogy erőteljes eljárásokkal rendelkeznek annak biztosítása érdekében, hogy teljesíteni tudják a GDPR 15–22. cikkeiben írt kötelezettségeiket a GDPR által előírt határidőkön belül</w:t>
      </w:r>
      <w:r w:rsidR="000A6B2D">
        <w:rPr>
          <w:rFonts w:ascii="Times New Roman" w:hAnsi="Times New Roman"/>
        </w:rPr>
        <w:t>.</w:t>
      </w:r>
    </w:p>
  </w:footnote>
  <w:footnote w:id="54">
    <w:p w:rsidR="002F7E98" w:rsidRPr="000A6B2D" w:rsidRDefault="002F7E98" w:rsidP="003A3205">
      <w:pPr>
        <w:spacing w:line="240" w:lineRule="auto"/>
        <w:rPr>
          <w:rFonts w:ascii="Times New Roman" w:hAnsi="Times New Roman"/>
          <w:sz w:val="20"/>
        </w:rPr>
      </w:pPr>
      <w:r>
        <w:rPr>
          <w:rStyle w:val="FootnoteReference"/>
        </w:rPr>
        <w:footnoteRef/>
      </w:r>
      <w:r>
        <w:t xml:space="preserve"> </w:t>
      </w:r>
      <w:r>
        <w:rPr>
          <w:rFonts w:ascii="Times New Roman" w:hAnsi="Times New Roman"/>
          <w:sz w:val="20"/>
        </w:rPr>
        <w:t>Információs Biztos Hivatala – Nagy adathalmazok, mesterséges intelligencia, gépi tanulás és adatvédelem. 2.0-ás verzió, 03/2017/</w:t>
      </w:r>
      <w:r>
        <w:rPr>
          <w:rFonts w:ascii="Times New Roman" w:hAnsi="Times New Roman"/>
        </w:rPr>
        <w:t xml:space="preserve">, </w:t>
      </w:r>
      <w:r>
        <w:rPr>
          <w:rFonts w:ascii="Times New Roman" w:hAnsi="Times New Roman"/>
          <w:sz w:val="20"/>
        </w:rPr>
        <w:t>87. oldal, 194. pont, 2017. március.</w:t>
      </w:r>
      <w:r>
        <w:t xml:space="preserve"> </w:t>
      </w:r>
      <w:hyperlink r:id="rId25">
        <w:r>
          <w:rPr>
            <w:rStyle w:val="Hyperlink"/>
            <w:rFonts w:ascii="Times New Roman" w:hAnsi="Times New Roman"/>
            <w:sz w:val="20"/>
          </w:rPr>
          <w:t>https://ico.org.uk/media/for-organisations/documents/2013559/big-data-ai-ml-and-data-protection.pdf</w:t>
        </w:r>
      </w:hyperlink>
      <w:r>
        <w:t xml:space="preserve"> </w:t>
      </w:r>
      <w:r w:rsidRPr="000A6B2D">
        <w:rPr>
          <w:rFonts w:ascii="Times New Roman" w:hAnsi="Times New Roman"/>
          <w:sz w:val="20"/>
        </w:rPr>
        <w:t>Hozzáférés dátuma: 2017. április 24.</w:t>
      </w:r>
    </w:p>
    <w:p w:rsidR="002F7E98" w:rsidRDefault="002F7E9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E98" w:rsidRDefault="002F7E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E98" w:rsidRDefault="002F7E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2F7E98" w:rsidTr="00BC0C9C">
      <w:trPr>
        <w:trHeight w:val="983"/>
      </w:trPr>
      <w:tc>
        <w:tcPr>
          <w:tcW w:w="7938" w:type="dxa"/>
        </w:tcPr>
        <w:p w:rsidR="002F7E98" w:rsidRDefault="002F7E98" w:rsidP="00BC0C9C">
          <w:pPr>
            <w:pStyle w:val="ZDGName"/>
            <w:jc w:val="left"/>
            <w:rPr>
              <w:rFonts w:ascii="Franklin Gothic Medium" w:hAnsi="Franklin Gothic Medium"/>
              <w:sz w:val="28"/>
            </w:rPr>
          </w:pPr>
        </w:p>
        <w:p w:rsidR="002F7E98" w:rsidRDefault="002F7E98" w:rsidP="00BC0C9C">
          <w:pPr>
            <w:rPr>
              <w:rFonts w:ascii="Franklin Gothic Medium" w:hAnsi="Franklin Gothic Medium"/>
              <w:sz w:val="28"/>
            </w:rPr>
          </w:pPr>
          <w:r>
            <w:rPr>
              <w:rFonts w:ascii="Franklin Gothic Medium" w:hAnsi="Franklin Gothic Medium"/>
              <w:sz w:val="28"/>
            </w:rPr>
            <w:t>A 29. CIKK SZERINTI ADATVÉDELMI MUNKACSOPORT</w:t>
          </w:r>
        </w:p>
        <w:p w:rsidR="002F7E98" w:rsidRDefault="002F7E98" w:rsidP="00BC0C9C">
          <w:pPr>
            <w:rPr>
              <w:sz w:val="18"/>
            </w:rPr>
          </w:pPr>
        </w:p>
      </w:tc>
      <w:tc>
        <w:tcPr>
          <w:tcW w:w="1701" w:type="dxa"/>
        </w:tcPr>
        <w:p w:rsidR="002F7E98" w:rsidRDefault="002F7E98" w:rsidP="00BC0C9C">
          <w:bookmarkStart w:id="126" w:name="_MON_1068647884"/>
          <w:bookmarkStart w:id="127" w:name="_MON_1075125593"/>
          <w:bookmarkStart w:id="128" w:name="_MON_1104334729"/>
          <w:bookmarkStart w:id="129" w:name="_MON_1104603406"/>
          <w:bookmarkEnd w:id="126"/>
          <w:bookmarkEnd w:id="127"/>
          <w:bookmarkEnd w:id="128"/>
          <w:bookmarkEnd w:id="129"/>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2F7E98" w:rsidRDefault="002F7E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6B2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574A"/>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18A1"/>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5F6F"/>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2F7E98"/>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32D"/>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612"/>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7B7"/>
    <w:rsid w:val="00713959"/>
    <w:rsid w:val="00713BE9"/>
    <w:rsid w:val="00713F1B"/>
    <w:rsid w:val="0071463F"/>
    <w:rsid w:val="00714EA6"/>
    <w:rsid w:val="0071558F"/>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117"/>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5360"/>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1764"/>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262D"/>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75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28"/>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03D8B6DD-EB3D-4398-A122-28D05E48A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hu-HU"/>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hu-HU" w:eastAsia="hu-HU" w:bidi="hu-HU"/>
    </w:rPr>
  </w:style>
  <w:style w:type="character" w:customStyle="1" w:styleId="Heading2Char">
    <w:name w:val="Heading 2 Char"/>
    <w:link w:val="Heading2"/>
    <w:uiPriority w:val="9"/>
    <w:rsid w:val="00AB663B"/>
    <w:rPr>
      <w:rFonts w:ascii="Georgia" w:eastAsia="Times New Roman" w:hAnsi="Georgia"/>
      <w:b/>
      <w:sz w:val="24"/>
      <w:szCs w:val="22"/>
      <w:u w:val="single"/>
      <w:lang w:val="hu-HU" w:eastAsia="hu-HU" w:bidi="hu-HU"/>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hu-HU" w:eastAsia="hu-HU" w:bidi="hu-HU"/>
    </w:rPr>
  </w:style>
  <w:style w:type="character" w:customStyle="1" w:styleId="Heading4Char">
    <w:name w:val="Heading 4 Char"/>
    <w:link w:val="Heading4"/>
    <w:uiPriority w:val="9"/>
    <w:rsid w:val="00FB7EFC"/>
    <w:rPr>
      <w:rFonts w:ascii="Cambria" w:eastAsia="Times New Roman" w:hAnsi="Cambria"/>
      <w:b/>
      <w:bCs/>
      <w:spacing w:val="5"/>
      <w:sz w:val="24"/>
      <w:szCs w:val="24"/>
      <w:lang w:val="hu-HU" w:eastAsia="hu-HU" w:bidi="hu-HU"/>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hu-HU" w:bidi="hu-HU"/>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hu-HU" w:eastAsia="hu-HU"/>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hu-HU" w:bidi="hu-HU"/>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hu-HU" w:eastAsia="hu-HU"/>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hu-HU" w:eastAsia="hu-HU"/>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hu-HU" w:eastAsia="hu-HU"/>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hu-HU" w:bidi="hu-HU"/>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hu-HU" w:eastAsia="hu-HU" w:bidi="hu-HU"/>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hu-HU"/>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hu-HU" w:eastAsia="hu-HU" w:bidi="hu-HU"/>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hu-HU" w:eastAsia="hu-HU" w:bidi="hu-HU"/>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hu-HU" w:eastAsia="hu-HU" w:bidi="hu-HU"/>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hu-HU" w:eastAsia="hu-HU" w:bidi="hu-HU"/>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hu-HU" w:eastAsia="hu-HU" w:bidi="hu-HU"/>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hu-HU" w:eastAsia="hu-HU" w:bidi="hu-HU"/>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hu-HU" w:eastAsia="hu-HU" w:bidi="hu-HU"/>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data-protection/article-29/documentation/opinion-recommendation/files/2014/wp223_en.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header" Target="header3.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document.cfm?doc_id=44100"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Hozz%C3%A1f%C3%A9r%C3%A9s%20d%C3%A1tuma:%202017.%C2%A0%C3%A1prilis%C2%A0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 Id="rId43"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en.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D5383-1D69-4409-A6C7-E28C121DD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12860</Words>
  <Characters>89642</Characters>
  <Application>Microsoft Office Word</Application>
  <DocSecurity>4</DocSecurity>
  <Lines>1867</Lines>
  <Paragraphs>711</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101791</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2018-08-13T14:11:00Z</dcterms:created>
  <dcterms:modified xsi:type="dcterms:W3CDTF">2018-08-13T14:11:00Z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